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01D" w:rsidRDefault="0034601D">
      <w:pPr>
        <w:kinsoku w:val="0"/>
        <w:overflowPunct w:val="0"/>
        <w:autoSpaceDE/>
        <w:autoSpaceDN/>
        <w:adjustRightInd/>
        <w:spacing w:after="563" w:line="20" w:lineRule="exact"/>
        <w:textAlignment w:val="baseline"/>
        <w:rPr>
          <w:sz w:val="24"/>
          <w:szCs w:val="24"/>
        </w:rPr>
      </w:pPr>
      <w:bookmarkStart w:id="0" w:name="_GoBack"/>
      <w:bookmarkEnd w:id="0"/>
    </w:p>
    <w:p w:rsidR="0034601D" w:rsidRDefault="00FA5927">
      <w:pPr>
        <w:kinsoku w:val="0"/>
        <w:overflowPunct w:val="0"/>
        <w:autoSpaceDE/>
        <w:autoSpaceDN/>
        <w:adjustRightInd/>
        <w:spacing w:before="1" w:line="281"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TAT No. 2541-2015</w:t>
      </w:r>
    </w:p>
    <w:p w:rsidR="0034601D" w:rsidRDefault="00FA5927">
      <w:pPr>
        <w:kinsoku w:val="0"/>
        <w:overflowPunct w:val="0"/>
        <w:autoSpaceDE/>
        <w:autoSpaceDN/>
        <w:adjustRightInd/>
        <w:spacing w:before="608" w:line="288" w:lineRule="exact"/>
        <w:ind w:left="72"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nueve horas del treinta de abril de dos mil quince.</w:t>
      </w:r>
    </w:p>
    <w:p w:rsidR="0034601D" w:rsidRDefault="00FA5927">
      <w:pPr>
        <w:kinsoku w:val="0"/>
        <w:overflowPunct w:val="0"/>
        <w:autoSpaceDE/>
        <w:autoSpaceDN/>
        <w:adjustRightInd/>
        <w:spacing w:before="302" w:line="295" w:lineRule="exact"/>
        <w:ind w:left="72"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RECURSOS DE APELACIÓN Y NULIDAD, </w:t>
      </w:r>
      <w:r>
        <w:rPr>
          <w:rFonts w:ascii="Verdana" w:hAnsi="Verdana" w:cs="Verdana"/>
          <w:sz w:val="24"/>
          <w:szCs w:val="24"/>
          <w:lang w:val="es-ES" w:eastAsia="es-ES"/>
        </w:rPr>
        <w:t xml:space="preserve">interpuesto por La </w:t>
      </w:r>
      <w:r>
        <w:rPr>
          <w:rFonts w:ascii="Verdana" w:hAnsi="Verdana" w:cs="Verdana"/>
          <w:b/>
          <w:bCs/>
          <w:sz w:val="24"/>
          <w:szCs w:val="24"/>
          <w:lang w:val="es-ES" w:eastAsia="es-ES"/>
        </w:rPr>
        <w:t>E</w:t>
      </w:r>
      <w:r w:rsidR="00FA1731">
        <w:rPr>
          <w:rFonts w:ascii="Verdana" w:hAnsi="Verdana" w:cs="Verdana"/>
          <w:b/>
          <w:bCs/>
          <w:sz w:val="24"/>
          <w:szCs w:val="24"/>
          <w:lang w:val="es-ES" w:eastAsia="es-ES"/>
        </w:rPr>
        <w:t>.A.L.</w:t>
      </w:r>
      <w:r>
        <w:rPr>
          <w:rFonts w:ascii="Verdana" w:hAnsi="Verdana" w:cs="Verdana"/>
          <w:b/>
          <w:bCs/>
          <w:sz w:val="24"/>
          <w:szCs w:val="24"/>
          <w:lang w:val="es-ES" w:eastAsia="es-ES"/>
        </w:rPr>
        <w:t xml:space="preserve">, cédula Jurídica número 3-102-008816-02, </w:t>
      </w:r>
      <w:r>
        <w:rPr>
          <w:rFonts w:ascii="Verdana" w:hAnsi="Verdana" w:cs="Verdana"/>
          <w:sz w:val="24"/>
          <w:szCs w:val="24"/>
          <w:lang w:val="es-ES" w:eastAsia="es-ES"/>
        </w:rPr>
        <w:t xml:space="preserve">por medio de sus Apoderados Generalísimos sin Límite de Suma, señores </w:t>
      </w:r>
      <w:r>
        <w:rPr>
          <w:rFonts w:ascii="Verdana" w:hAnsi="Verdana" w:cs="Verdana"/>
          <w:b/>
          <w:bCs/>
          <w:sz w:val="24"/>
          <w:szCs w:val="24"/>
          <w:lang w:val="es-ES" w:eastAsia="es-ES"/>
        </w:rPr>
        <w:t>G</w:t>
      </w:r>
      <w:r w:rsidR="00FA1731">
        <w:rPr>
          <w:rFonts w:ascii="Verdana" w:hAnsi="Verdana" w:cs="Verdana"/>
          <w:b/>
          <w:bCs/>
          <w:sz w:val="24"/>
          <w:szCs w:val="24"/>
          <w:lang w:val="es-ES" w:eastAsia="es-ES"/>
        </w:rPr>
        <w:t>.A.C.,</w:t>
      </w:r>
      <w:r>
        <w:rPr>
          <w:rFonts w:ascii="Verdana" w:hAnsi="Verdana" w:cs="Verdana"/>
          <w:b/>
          <w:bCs/>
          <w:sz w:val="24"/>
          <w:szCs w:val="24"/>
          <w:lang w:val="es-ES" w:eastAsia="es-ES"/>
        </w:rPr>
        <w:t xml:space="preserve"> cédula de identidad número </w:t>
      </w:r>
      <w:r w:rsidR="00FA1731">
        <w:rPr>
          <w:rFonts w:ascii="Verdana" w:hAnsi="Verdana" w:cs="Verdana"/>
          <w:b/>
          <w:bCs/>
          <w:sz w:val="24"/>
          <w:szCs w:val="24"/>
          <w:lang w:val="es-ES" w:eastAsia="es-ES"/>
        </w:rPr>
        <w:t>…</w:t>
      </w:r>
      <w:r>
        <w:rPr>
          <w:rFonts w:ascii="Verdana" w:hAnsi="Verdana" w:cs="Verdana"/>
          <w:b/>
          <w:bCs/>
          <w:sz w:val="24"/>
          <w:szCs w:val="24"/>
          <w:lang w:val="es-ES" w:eastAsia="es-ES"/>
        </w:rPr>
        <w:t xml:space="preserve"> y F</w:t>
      </w:r>
      <w:r w:rsidR="00FA1731">
        <w:rPr>
          <w:rFonts w:ascii="Verdana" w:hAnsi="Verdana" w:cs="Verdana"/>
          <w:b/>
          <w:bCs/>
          <w:sz w:val="24"/>
          <w:szCs w:val="24"/>
          <w:lang w:val="es-ES" w:eastAsia="es-ES"/>
        </w:rPr>
        <w:t>.A.H.,</w:t>
      </w:r>
      <w:r>
        <w:rPr>
          <w:rFonts w:ascii="Verdana" w:hAnsi="Verdana" w:cs="Verdana"/>
          <w:b/>
          <w:bCs/>
          <w:sz w:val="24"/>
          <w:szCs w:val="24"/>
          <w:lang w:val="es-ES" w:eastAsia="es-ES"/>
        </w:rPr>
        <w:t xml:space="preserve"> cédula de identidad número </w:t>
      </w:r>
      <w:r w:rsidR="00FA1731">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el </w:t>
      </w:r>
      <w:r>
        <w:rPr>
          <w:rFonts w:ascii="Verdana" w:hAnsi="Verdana" w:cs="Verdana"/>
          <w:b/>
          <w:bCs/>
          <w:sz w:val="24"/>
          <w:szCs w:val="24"/>
          <w:lang w:val="es-ES" w:eastAsia="es-ES"/>
        </w:rPr>
        <w:t xml:space="preserve">artículo 1.5 de la Sesión Ordinaria 54-2014 del 25 de setiembre de 2014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TAT-182-15.</w:t>
      </w:r>
    </w:p>
    <w:p w:rsidR="0034601D" w:rsidRDefault="00FA5927">
      <w:pPr>
        <w:kinsoku w:val="0"/>
        <w:overflowPunct w:val="0"/>
        <w:autoSpaceDE/>
        <w:autoSpaceDN/>
        <w:adjustRightInd/>
        <w:spacing w:before="311" w:line="281"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34601D" w:rsidRDefault="00FA5927">
      <w:pPr>
        <w:kinsoku w:val="0"/>
        <w:overflowPunct w:val="0"/>
        <w:autoSpaceDE/>
        <w:autoSpaceDN/>
        <w:adjustRightInd/>
        <w:spacing w:before="306" w:line="294" w:lineRule="exact"/>
        <w:ind w:left="72"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artículo </w:t>
      </w:r>
      <w:r>
        <w:rPr>
          <w:rFonts w:ascii="Verdana" w:hAnsi="Verdana" w:cs="Verdana"/>
          <w:b/>
          <w:bCs/>
          <w:sz w:val="24"/>
          <w:szCs w:val="24"/>
          <w:lang w:val="es-ES" w:eastAsia="es-ES"/>
        </w:rPr>
        <w:t xml:space="preserve">1.5 de la Sesión Ordinaria 54-2014 del 25 de setiembre de 2014, </w:t>
      </w:r>
      <w:r>
        <w:rPr>
          <w:rFonts w:ascii="Verdana" w:hAnsi="Verdana" w:cs="Verdana"/>
          <w:sz w:val="24"/>
          <w:szCs w:val="24"/>
          <w:lang w:val="es-ES" w:eastAsia="es-ES"/>
        </w:rPr>
        <w:t>en su parte dispositiva dispone: (Léanse folios del 35 vuelto al 37 del expediente administrativo)</w:t>
      </w:r>
    </w:p>
    <w:p w:rsidR="0034601D" w:rsidRDefault="00FA5927">
      <w:pPr>
        <w:kinsoku w:val="0"/>
        <w:overflowPunct w:val="0"/>
        <w:autoSpaceDE/>
        <w:autoSpaceDN/>
        <w:adjustRightInd/>
        <w:spacing w:before="241" w:line="201"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 Votación Unánime</w:t>
      </w:r>
    </w:p>
    <w:p w:rsidR="0034601D" w:rsidRDefault="00FA5927">
      <w:pPr>
        <w:numPr>
          <w:ilvl w:val="0"/>
          <w:numId w:val="1"/>
        </w:numPr>
        <w:kinsoku w:val="0"/>
        <w:overflowPunct w:val="0"/>
        <w:autoSpaceDE/>
        <w:autoSpaceDN/>
        <w:adjustRightInd/>
        <w:spacing w:before="6" w:line="194"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Que en virtud del acuerdo adoptado el día de ayer en la acuerdo </w:t>
      </w:r>
      <w:r>
        <w:rPr>
          <w:rFonts w:ascii="Verdana" w:hAnsi="Verdana" w:cs="Verdana"/>
          <w:b/>
          <w:bCs/>
          <w:i/>
          <w:iCs/>
          <w:sz w:val="16"/>
          <w:szCs w:val="16"/>
          <w:lang w:val="es-ES" w:eastAsia="es-ES"/>
        </w:rPr>
        <w:t xml:space="preserve">7.1 </w:t>
      </w:r>
      <w:r>
        <w:rPr>
          <w:rFonts w:ascii="Verdana" w:hAnsi="Verdana" w:cs="Verdana"/>
          <w:i/>
          <w:iCs/>
          <w:sz w:val="16"/>
          <w:szCs w:val="16"/>
          <w:lang w:val="es-ES" w:eastAsia="es-ES"/>
        </w:rPr>
        <w:t xml:space="preserve">de la sesión ordinaria </w:t>
      </w:r>
      <w:r>
        <w:rPr>
          <w:rFonts w:ascii="Verdana" w:hAnsi="Verdana" w:cs="Verdana"/>
          <w:b/>
          <w:bCs/>
          <w:i/>
          <w:iCs/>
          <w:sz w:val="16"/>
          <w:szCs w:val="16"/>
          <w:lang w:val="es-ES" w:eastAsia="es-ES"/>
        </w:rPr>
        <w:t>53</w:t>
      </w:r>
      <w:r>
        <w:rPr>
          <w:rFonts w:ascii="Verdana" w:hAnsi="Verdana" w:cs="Verdana"/>
          <w:b/>
          <w:bCs/>
          <w:i/>
          <w:iCs/>
          <w:sz w:val="16"/>
          <w:szCs w:val="16"/>
          <w:lang w:val="es-ES" w:eastAsia="es-ES"/>
        </w:rPr>
        <w:softHyphen/>
        <w:t xml:space="preserve">2014, </w:t>
      </w:r>
      <w:r>
        <w:rPr>
          <w:rFonts w:ascii="Verdana" w:hAnsi="Verdana" w:cs="Verdana"/>
          <w:i/>
          <w:iCs/>
          <w:sz w:val="16"/>
          <w:szCs w:val="16"/>
          <w:lang w:val="es-ES" w:eastAsia="es-ES"/>
        </w:rPr>
        <w:t>en la que se aprobó la disminución de flota óptima a la Empresa T</w:t>
      </w:r>
      <w:r w:rsidR="00FA1731">
        <w:rPr>
          <w:rFonts w:ascii="Verdana" w:hAnsi="Verdana" w:cs="Verdana"/>
          <w:i/>
          <w:iCs/>
          <w:sz w:val="16"/>
          <w:szCs w:val="16"/>
          <w:lang w:val="es-ES" w:eastAsia="es-ES"/>
        </w:rPr>
        <w:t>.L.</w:t>
      </w:r>
      <w:r>
        <w:rPr>
          <w:rFonts w:ascii="Verdana" w:hAnsi="Verdana" w:cs="Verdana"/>
          <w:i/>
          <w:iCs/>
          <w:sz w:val="16"/>
          <w:szCs w:val="16"/>
          <w:lang w:val="es-ES" w:eastAsia="es-ES"/>
        </w:rPr>
        <w:t>, en la ruta 503, se ordena instruir a la Dirección Ejecutiva, para que se realice la inspección de las dos unidades que restan por verificar de la flota optima autorizada en dicha ruta.</w:t>
      </w:r>
    </w:p>
    <w:p w:rsidR="0034601D" w:rsidRDefault="00FA5927">
      <w:pPr>
        <w:numPr>
          <w:ilvl w:val="0"/>
          <w:numId w:val="1"/>
        </w:numPr>
        <w:kinsoku w:val="0"/>
        <w:overflowPunct w:val="0"/>
        <w:autoSpaceDE/>
        <w:autoSpaceDN/>
        <w:adjustRightInd/>
        <w:spacing w:before="15" w:line="198" w:lineRule="exact"/>
        <w:ind w:right="504"/>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Aprobar con cláusula resolutoria la renovación de concesión de la Empresa T</w:t>
      </w:r>
      <w:r w:rsidR="00FA1731">
        <w:rPr>
          <w:rFonts w:ascii="Verdana" w:hAnsi="Verdana" w:cs="Verdana"/>
          <w:i/>
          <w:iCs/>
          <w:sz w:val="16"/>
          <w:szCs w:val="16"/>
          <w:lang w:val="es-ES" w:eastAsia="es-ES"/>
        </w:rPr>
        <w:t>.L.</w:t>
      </w:r>
      <w:r>
        <w:rPr>
          <w:rFonts w:ascii="Verdana" w:hAnsi="Verdana" w:cs="Verdana"/>
          <w:i/>
          <w:iCs/>
          <w:sz w:val="16"/>
          <w:szCs w:val="16"/>
          <w:lang w:val="es-ES" w:eastAsia="es-ES"/>
        </w:rPr>
        <w:t xml:space="preserve"> y proceder a realizar los acuerdos de puntuación de la matriz de verificación y renovación de la ruta 503A Y 570, en el entendido de que en caso de la revisión de las unidades correspondientes, no aprueben la verificación de campo y por ende no consiga la puntuación mínima necesaria (80), de aprobación de la </w:t>
      </w:r>
      <w:r>
        <w:rPr>
          <w:rFonts w:ascii="Verdana" w:hAnsi="Verdana" w:cs="Verdana"/>
          <w:b/>
          <w:bCs/>
          <w:i/>
          <w:iCs/>
          <w:sz w:val="16"/>
          <w:szCs w:val="16"/>
          <w:lang w:val="es-ES" w:eastAsia="es-ES"/>
        </w:rPr>
        <w:t xml:space="preserve">Matriz de Verificación del cumplimiento de las obligaciones contractuales de las concesiones período 2007-2014, </w:t>
      </w:r>
      <w:r>
        <w:rPr>
          <w:rFonts w:ascii="Verdana" w:hAnsi="Verdana" w:cs="Verdana"/>
          <w:i/>
          <w:iCs/>
          <w:sz w:val="16"/>
          <w:szCs w:val="16"/>
          <w:lang w:val="es-ES" w:eastAsia="es-ES"/>
        </w:rPr>
        <w:t xml:space="preserve">se tendrá de pleno derecho por no renovados los derechos de concesión para el periodo 2014- 2021, en la ruta </w:t>
      </w:r>
      <w:r>
        <w:rPr>
          <w:rFonts w:ascii="Verdana" w:hAnsi="Verdana" w:cs="Verdana"/>
          <w:b/>
          <w:bCs/>
          <w:i/>
          <w:iCs/>
          <w:sz w:val="16"/>
          <w:szCs w:val="16"/>
          <w:lang w:val="es-ES" w:eastAsia="es-ES"/>
        </w:rPr>
        <w:t>503 Ay 570</w:t>
      </w:r>
    </w:p>
    <w:p w:rsidR="0034601D" w:rsidRDefault="00FA5927">
      <w:pPr>
        <w:numPr>
          <w:ilvl w:val="0"/>
          <w:numId w:val="1"/>
        </w:numPr>
        <w:kinsoku w:val="0"/>
        <w:overflowPunct w:val="0"/>
        <w:autoSpaceDE/>
        <w:autoSpaceDN/>
        <w:adjustRightInd/>
        <w:spacing w:before="12" w:line="201" w:lineRule="exact"/>
        <w:ind w:right="504"/>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Aprobar la renovación de la ruta </w:t>
      </w:r>
      <w:r>
        <w:rPr>
          <w:rFonts w:ascii="Verdana" w:hAnsi="Verdana" w:cs="Verdana"/>
          <w:b/>
          <w:bCs/>
          <w:i/>
          <w:iCs/>
          <w:sz w:val="16"/>
          <w:szCs w:val="16"/>
          <w:lang w:val="es-ES" w:eastAsia="es-ES"/>
        </w:rPr>
        <w:t xml:space="preserve">570 y 503A, </w:t>
      </w:r>
      <w:r>
        <w:rPr>
          <w:rFonts w:ascii="Verdana" w:hAnsi="Verdana" w:cs="Verdana"/>
          <w:i/>
          <w:iCs/>
          <w:sz w:val="16"/>
          <w:szCs w:val="16"/>
          <w:lang w:val="es-ES" w:eastAsia="es-ES"/>
        </w:rPr>
        <w:t>a la Empresa T</w:t>
      </w:r>
      <w:r w:rsidR="00FA1731">
        <w:rPr>
          <w:rFonts w:ascii="Verdana" w:hAnsi="Verdana" w:cs="Verdana"/>
          <w:i/>
          <w:iCs/>
          <w:sz w:val="16"/>
          <w:szCs w:val="16"/>
          <w:lang w:val="es-ES" w:eastAsia="es-ES"/>
        </w:rPr>
        <w:t>.L.</w:t>
      </w:r>
      <w:r>
        <w:rPr>
          <w:rFonts w:ascii="Verdana" w:hAnsi="Verdana" w:cs="Verdana"/>
          <w:i/>
          <w:iCs/>
          <w:sz w:val="16"/>
          <w:szCs w:val="16"/>
          <w:lang w:val="es-ES" w:eastAsia="es-ES"/>
        </w:rPr>
        <w:t xml:space="preserve">, con un puntaje obtenido en </w:t>
      </w:r>
      <w:r>
        <w:rPr>
          <w:rFonts w:ascii="Verdana" w:hAnsi="Verdana" w:cs="Verdana"/>
          <w:b/>
          <w:bCs/>
          <w:i/>
          <w:iCs/>
          <w:sz w:val="16"/>
          <w:szCs w:val="16"/>
          <w:lang w:val="es-ES" w:eastAsia="es-ES"/>
        </w:rPr>
        <w:t>"Matriz de Verificación del cumplimiento de las obligaciones contractuales de las concesiones período 2007-2014.</w:t>
      </w:r>
    </w:p>
    <w:p w:rsidR="0034601D" w:rsidRDefault="00FA5927">
      <w:pPr>
        <w:numPr>
          <w:ilvl w:val="0"/>
          <w:numId w:val="1"/>
        </w:numPr>
        <w:kinsoku w:val="0"/>
        <w:overflowPunct w:val="0"/>
        <w:autoSpaceDE/>
        <w:autoSpaceDN/>
        <w:adjustRightInd/>
        <w:spacing w:before="25" w:line="194" w:lineRule="exact"/>
        <w:ind w:right="504"/>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La renovación que en este acto se otorga tendrá una vigencia de siete años, desde el </w:t>
      </w:r>
      <w:r>
        <w:rPr>
          <w:rFonts w:ascii="Verdana" w:hAnsi="Verdana" w:cs="Verdana"/>
          <w:b/>
          <w:bCs/>
          <w:i/>
          <w:iCs/>
          <w:sz w:val="16"/>
          <w:szCs w:val="16"/>
          <w:lang w:val="es-ES" w:eastAsia="es-ES"/>
        </w:rPr>
        <w:t>01 de octubre del año 2014, hasta el 30 de septiembre del año 2021.</w:t>
      </w:r>
    </w:p>
    <w:p w:rsidR="0034601D" w:rsidRDefault="00FA5927">
      <w:pPr>
        <w:numPr>
          <w:ilvl w:val="0"/>
          <w:numId w:val="1"/>
        </w:numPr>
        <w:kinsoku w:val="0"/>
        <w:overflowPunct w:val="0"/>
        <w:autoSpaceDE/>
        <w:autoSpaceDN/>
        <w:adjustRightInd/>
        <w:spacing w:before="18" w:line="195" w:lineRule="exact"/>
        <w:ind w:right="504"/>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Renovar el derecho de concesión que ostenta la </w:t>
      </w:r>
      <w:r>
        <w:rPr>
          <w:rFonts w:ascii="Verdana" w:hAnsi="Verdana" w:cs="Verdana"/>
          <w:b/>
          <w:bCs/>
          <w:i/>
          <w:iCs/>
          <w:sz w:val="16"/>
          <w:szCs w:val="16"/>
          <w:lang w:val="es-ES" w:eastAsia="es-ES"/>
        </w:rPr>
        <w:t>EMPRESA T</w:t>
      </w:r>
      <w:r w:rsidR="00FA1731">
        <w:rPr>
          <w:rFonts w:ascii="Verdana" w:hAnsi="Verdana" w:cs="Verdana"/>
          <w:b/>
          <w:bCs/>
          <w:i/>
          <w:iCs/>
          <w:sz w:val="16"/>
          <w:szCs w:val="16"/>
          <w:lang w:val="es-ES" w:eastAsia="es-ES"/>
        </w:rPr>
        <w:t>.L.</w:t>
      </w:r>
      <w:r>
        <w:rPr>
          <w:rFonts w:ascii="Verdana" w:hAnsi="Verdana" w:cs="Verdana"/>
          <w:b/>
          <w:bCs/>
          <w:i/>
          <w:iCs/>
          <w:sz w:val="16"/>
          <w:szCs w:val="16"/>
          <w:lang w:val="es-ES" w:eastAsia="es-ES"/>
        </w:rPr>
        <w:t xml:space="preserve"> </w:t>
      </w:r>
      <w:r>
        <w:rPr>
          <w:rFonts w:ascii="Verdana" w:hAnsi="Verdana" w:cs="Verdana"/>
          <w:i/>
          <w:iCs/>
          <w:sz w:val="16"/>
          <w:szCs w:val="16"/>
          <w:lang w:val="es-ES" w:eastAsia="es-ES"/>
        </w:rPr>
        <w:t xml:space="preserve">para la explotación del servicio público de transporte remunerado de personas, modalidad </w:t>
      </w:r>
      <w:r>
        <w:rPr>
          <w:rFonts w:ascii="Verdana" w:hAnsi="Verdana" w:cs="Verdana"/>
          <w:b/>
          <w:bCs/>
          <w:i/>
          <w:iCs/>
          <w:sz w:val="16"/>
          <w:szCs w:val="16"/>
          <w:lang w:val="es-ES" w:eastAsia="es-ES"/>
        </w:rPr>
        <w:t xml:space="preserve">AUTOBUS, </w:t>
      </w:r>
      <w:r>
        <w:rPr>
          <w:rFonts w:ascii="Verdana" w:hAnsi="Verdana" w:cs="Verdana"/>
          <w:i/>
          <w:iCs/>
          <w:sz w:val="16"/>
          <w:szCs w:val="16"/>
          <w:lang w:val="es-ES" w:eastAsia="es-ES"/>
        </w:rPr>
        <w:t xml:space="preserve">en las rutas que a continuación se indican: </w:t>
      </w:r>
      <w:r>
        <w:rPr>
          <w:rFonts w:ascii="Verdana" w:hAnsi="Verdana" w:cs="Verdana"/>
          <w:b/>
          <w:bCs/>
          <w:i/>
          <w:iCs/>
          <w:sz w:val="16"/>
          <w:szCs w:val="16"/>
          <w:lang w:val="es-ES" w:eastAsia="es-ES"/>
        </w:rPr>
        <w:t xml:space="preserve">RUTA 503A-570 </w:t>
      </w:r>
      <w:r>
        <w:rPr>
          <w:rFonts w:ascii="Verdana" w:hAnsi="Verdana" w:cs="Verdana"/>
          <w:i/>
          <w:iCs/>
          <w:sz w:val="16"/>
          <w:szCs w:val="16"/>
          <w:lang w:val="es-ES" w:eastAsia="es-ES"/>
        </w:rPr>
        <w:t xml:space="preserve">descrita como </w:t>
      </w:r>
      <w:r>
        <w:rPr>
          <w:rFonts w:ascii="Verdana" w:hAnsi="Verdana" w:cs="Verdana"/>
          <w:b/>
          <w:bCs/>
          <w:i/>
          <w:iCs/>
          <w:sz w:val="16"/>
          <w:szCs w:val="16"/>
          <w:lang w:val="es-ES" w:eastAsia="es-ES"/>
        </w:rPr>
        <w:t xml:space="preserve">503a: San lose-Santa Cruz-27 de Abril-Playa </w:t>
      </w:r>
      <w:proofErr w:type="spellStart"/>
      <w:r>
        <w:rPr>
          <w:rFonts w:ascii="Verdana" w:hAnsi="Verdana" w:cs="Verdana"/>
          <w:b/>
          <w:bCs/>
          <w:i/>
          <w:iCs/>
          <w:sz w:val="16"/>
          <w:szCs w:val="16"/>
          <w:lang w:val="es-ES" w:eastAsia="es-ES"/>
        </w:rPr>
        <w:t>Junquillal</w:t>
      </w:r>
      <w:proofErr w:type="spellEnd"/>
      <w:r>
        <w:rPr>
          <w:rFonts w:ascii="Verdana" w:hAnsi="Verdana" w:cs="Verdana"/>
          <w:b/>
          <w:bCs/>
          <w:i/>
          <w:iCs/>
          <w:sz w:val="16"/>
          <w:szCs w:val="16"/>
          <w:lang w:val="es-ES" w:eastAsia="es-ES"/>
        </w:rPr>
        <w:t xml:space="preserve">-Playa Tamarindo-Playa </w:t>
      </w:r>
      <w:proofErr w:type="spellStart"/>
      <w:r>
        <w:rPr>
          <w:rFonts w:ascii="Verdana" w:hAnsi="Verdana" w:cs="Verdana"/>
          <w:b/>
          <w:bCs/>
          <w:i/>
          <w:iCs/>
          <w:sz w:val="16"/>
          <w:szCs w:val="16"/>
          <w:lang w:val="es-ES" w:eastAsia="es-ES"/>
        </w:rPr>
        <w:t>Flamingo</w:t>
      </w:r>
      <w:proofErr w:type="spellEnd"/>
      <w:r>
        <w:rPr>
          <w:rFonts w:ascii="Verdana" w:hAnsi="Verdana" w:cs="Verdana"/>
          <w:b/>
          <w:bCs/>
          <w:i/>
          <w:iCs/>
          <w:sz w:val="16"/>
          <w:szCs w:val="16"/>
          <w:lang w:val="es-ES" w:eastAsia="es-ES"/>
        </w:rPr>
        <w:t xml:space="preserve"> por carretera interamericana y viceversa. RUTA 570: Playa Panamá-San lose.</w:t>
      </w:r>
    </w:p>
    <w:p w:rsidR="0034601D" w:rsidRDefault="00FA5927">
      <w:pPr>
        <w:numPr>
          <w:ilvl w:val="0"/>
          <w:numId w:val="1"/>
        </w:numPr>
        <w:kinsoku w:val="0"/>
        <w:overflowPunct w:val="0"/>
        <w:autoSpaceDE/>
        <w:autoSpaceDN/>
        <w:adjustRightInd/>
        <w:spacing w:before="31" w:line="196"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concesionaria iniciará la prestación del servicio de transporte remunerado de personas en sus respectivas rutas con la flota y horarios autorizados; así como los demás extremos del sistema operativo que se encuentran vigentes al día de la emisión del presente acuerdo, o a los posteriores</w:t>
      </w:r>
    </w:p>
    <w:p w:rsidR="0034601D" w:rsidRDefault="0034601D">
      <w:pPr>
        <w:widowControl/>
        <w:rPr>
          <w:sz w:val="24"/>
          <w:szCs w:val="24"/>
        </w:rPr>
        <w:sectPr w:rsidR="0034601D">
          <w:pgSz w:w="12134" w:h="15840"/>
          <w:pgMar w:top="1400" w:right="1467" w:bottom="220" w:left="1607" w:header="720" w:footer="720" w:gutter="0"/>
          <w:cols w:space="720"/>
          <w:noEndnote/>
        </w:sectPr>
      </w:pPr>
    </w:p>
    <w:p w:rsidR="0034601D" w:rsidRDefault="00FA5927">
      <w:pPr>
        <w:kinsoku w:val="0"/>
        <w:overflowPunct w:val="0"/>
        <w:autoSpaceDE/>
        <w:autoSpaceDN/>
        <w:adjustRightInd/>
        <w:spacing w:before="29" w:line="173" w:lineRule="exact"/>
        <w:ind w:left="72" w:right="14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 xml:space="preserve">que el Consejo Transporte </w:t>
      </w:r>
      <w:r w:rsidR="00FA1731">
        <w:rPr>
          <w:rFonts w:ascii="Verdana" w:hAnsi="Verdana" w:cs="Verdana"/>
          <w:i/>
          <w:iCs/>
          <w:sz w:val="15"/>
          <w:szCs w:val="15"/>
          <w:lang w:val="es-ES" w:eastAsia="es-ES"/>
        </w:rPr>
        <w:t>Público</w:t>
      </w:r>
      <w:r>
        <w:rPr>
          <w:rFonts w:ascii="Verdana" w:hAnsi="Verdana" w:cs="Verdana"/>
          <w:i/>
          <w:iCs/>
          <w:sz w:val="15"/>
          <w:szCs w:val="15"/>
          <w:lang w:val="es-ES" w:eastAsia="es-ES"/>
        </w:rPr>
        <w:t xml:space="preserve"> autorice antes de la firma del contrato de concesión; lo que quedará plasmado en el respectivo contrato de</w:t>
      </w:r>
    </w:p>
    <w:p w:rsidR="0034601D" w:rsidRDefault="00FA5927">
      <w:pPr>
        <w:kinsoku w:val="0"/>
        <w:overflowPunct w:val="0"/>
        <w:autoSpaceDE/>
        <w:autoSpaceDN/>
        <w:adjustRightInd/>
        <w:spacing w:before="30" w:line="188" w:lineRule="exact"/>
        <w:ind w:left="72" w:right="144"/>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 xml:space="preserve">concesión. Lo anterior considerando, en su caso, las diversas modificaciones al sistema operativo autorizadas por el Consejo Transporte </w:t>
      </w:r>
      <w:r w:rsidR="00FA1731">
        <w:rPr>
          <w:rFonts w:ascii="Verdana" w:hAnsi="Verdana" w:cs="Verdana"/>
          <w:i/>
          <w:iCs/>
          <w:spacing w:val="3"/>
          <w:sz w:val="15"/>
          <w:szCs w:val="15"/>
          <w:lang w:val="es-ES" w:eastAsia="es-ES"/>
        </w:rPr>
        <w:t>Público</w:t>
      </w:r>
      <w:r>
        <w:rPr>
          <w:rFonts w:ascii="Verdana" w:hAnsi="Verdana" w:cs="Verdana"/>
          <w:i/>
          <w:iCs/>
          <w:spacing w:val="3"/>
          <w:sz w:val="15"/>
          <w:szCs w:val="15"/>
          <w:lang w:val="es-ES" w:eastAsia="es-ES"/>
        </w:rPr>
        <w:t xml:space="preserve"> durante el periodo 2007-2014, especialmente las fusiones realizadas al amparo de la Ley 3503, en particular por los artículos 10 y 14, y del Decreto Ejecutivo 28337-MOPT, así como demás disposiciones atinentes a la modernización del transporte público.</w:t>
      </w:r>
    </w:p>
    <w:p w:rsidR="0034601D" w:rsidRDefault="00FA5927">
      <w:pPr>
        <w:numPr>
          <w:ilvl w:val="0"/>
          <w:numId w:val="2"/>
        </w:numPr>
        <w:kinsoku w:val="0"/>
        <w:overflowPunct w:val="0"/>
        <w:autoSpaceDE/>
        <w:autoSpaceDN/>
        <w:adjustRightInd/>
        <w:spacing w:before="77" w:line="195" w:lineRule="exact"/>
        <w:ind w:right="144"/>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 xml:space="preserve">La concesionaria deberá cumplir con las disposiciones legales y reglamentarias vigentes y con los acuerdos que emita la Junta Directiva del Consejo de Transporte Público en el ejercicio de sus competencias, en especial las relativas a: unidades aptas para el transporte de personas con discapacidad y las normas aplicables sobre accesibilidad que contempla la Ley No. 7600; cumplimiento del régimen tarifario y del beneficio tarifario para los adultos mayores; existencia de una oficina en la cual el usuario pueda gestionar, presentar y recibir respuesta de sus quejas y denuncias contra el servicio público prestado; capacitación del recurso humano de su empresa, salud ocupacional y seguridad de sus conductores; cumplir en lo que le corresponda con la evaluación de la calidad de servicio en los términos definidos por la normativa vigente, </w:t>
      </w:r>
      <w:r w:rsidR="00FA1731">
        <w:rPr>
          <w:rFonts w:ascii="Verdana" w:hAnsi="Verdana" w:cs="Verdana"/>
          <w:i/>
          <w:iCs/>
          <w:spacing w:val="4"/>
          <w:sz w:val="15"/>
          <w:szCs w:val="15"/>
          <w:lang w:val="es-ES" w:eastAsia="es-ES"/>
        </w:rPr>
        <w:t>específicamente</w:t>
      </w:r>
      <w:r>
        <w:rPr>
          <w:rFonts w:ascii="Verdana" w:hAnsi="Verdana" w:cs="Verdana"/>
          <w:i/>
          <w:iCs/>
          <w:spacing w:val="4"/>
          <w:sz w:val="15"/>
          <w:szCs w:val="15"/>
          <w:lang w:val="es-ES" w:eastAsia="es-ES"/>
        </w:rPr>
        <w:t xml:space="preserve"> el Modelo de Evaluación de la Calidad de Servicio, cumplimiento de las directrices emitidas por el Consejo de Transporte Público que le resulten aplicables relativas a la modernización del transporte, de acuerdo con los estudios técnicos correspondientes; participación en los sistemas de cobro electrónico y control de volumen de pasajeros transportados y que técnicamente se fundamenten; así como en cantidad, tecnologías y características de la flota, en particular lo referente a las tecnologías limpias que se determinen en el contrato de concesión, y cualquier otro requerimiento y compromiso que se establezca en el contrato de concesión para el periodo 2014-2021 y que coadyuve a alcanzar los objetivos planteados en la modernización del transporte público en beneficio del usuario, en concordancia con el interés público, sean requerimientos de orden administrativo, operativo, técnico y legal, todo de conformidad y en apego a la normativa vigente. La concesionaria estará obligada a posibilitar las tareas de fiscalización, inspección y control que, de conformidad con la ley, debe ejercer el Consejo de Transporte Público, suministrando toda la información vinculada con la operación general de los servicios a su cargo, todo conforme con el artículo 24 de la Constitución Política.</w:t>
      </w:r>
    </w:p>
    <w:p w:rsidR="0034601D" w:rsidRDefault="00FA5927">
      <w:pPr>
        <w:numPr>
          <w:ilvl w:val="0"/>
          <w:numId w:val="2"/>
        </w:numPr>
        <w:kinsoku w:val="0"/>
        <w:overflowPunct w:val="0"/>
        <w:autoSpaceDE/>
        <w:autoSpaceDN/>
        <w:adjustRightInd/>
        <w:spacing w:before="13" w:line="195" w:lineRule="exact"/>
        <w:ind w:right="144"/>
        <w:jc w:val="both"/>
        <w:textAlignment w:val="baseline"/>
        <w:rPr>
          <w:rFonts w:ascii="Verdana" w:hAnsi="Verdana" w:cs="Verdana"/>
          <w:i/>
          <w:iCs/>
          <w:spacing w:val="5"/>
          <w:sz w:val="15"/>
          <w:szCs w:val="15"/>
          <w:lang w:val="es-ES" w:eastAsia="es-ES"/>
        </w:rPr>
      </w:pPr>
      <w:r>
        <w:rPr>
          <w:rFonts w:ascii="Verdana" w:hAnsi="Verdana" w:cs="Verdana"/>
          <w:i/>
          <w:iCs/>
          <w:spacing w:val="5"/>
          <w:sz w:val="15"/>
          <w:szCs w:val="15"/>
          <w:lang w:val="es-ES" w:eastAsia="es-ES"/>
        </w:rPr>
        <w:t>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la presentación previa de los requisitos establecidos en el formulario número 37 del Manual sobre Requisitos del Consejo de Transporte Público, aprobado mediante artículo 4.1 de la Sesión Ordinaria 45-2010 del 29 de setiembre de 2010 de esta Junta Directiva.</w:t>
      </w:r>
    </w:p>
    <w:p w:rsidR="0034601D" w:rsidRPr="00FA1731" w:rsidRDefault="00FA5927" w:rsidP="00FA1731">
      <w:pPr>
        <w:numPr>
          <w:ilvl w:val="0"/>
          <w:numId w:val="2"/>
        </w:numPr>
        <w:kinsoku w:val="0"/>
        <w:overflowPunct w:val="0"/>
        <w:autoSpaceDE/>
        <w:autoSpaceDN/>
        <w:adjustRightInd/>
        <w:spacing w:before="8" w:line="195" w:lineRule="exact"/>
        <w:ind w:right="144"/>
        <w:jc w:val="both"/>
        <w:textAlignment w:val="baseline"/>
        <w:rPr>
          <w:rFonts w:ascii="Verdana" w:hAnsi="Verdana" w:cs="Verdana"/>
          <w:i/>
          <w:iCs/>
          <w:sz w:val="15"/>
          <w:szCs w:val="15"/>
          <w:lang w:val="es-ES" w:eastAsia="es-ES"/>
        </w:rPr>
      </w:pPr>
      <w:r w:rsidRPr="00FA1731">
        <w:rPr>
          <w:rFonts w:ascii="Verdana" w:hAnsi="Verdana" w:cs="Verdana"/>
          <w:i/>
          <w:iCs/>
          <w:spacing w:val="6"/>
          <w:sz w:val="15"/>
          <w:szCs w:val="15"/>
          <w:lang w:val="es-ES" w:eastAsia="es-ES"/>
        </w:rPr>
        <w:t>Dentro del plazo máximo de QUINCE días hábiles contados a partir de la notificación del presente acuerdo, la concesionaria deberá presentar los requisitos formales ante el Consejo de Transporte Público para suscribir el correspondiente Contrato de Concesión. Si transcurrido el plazo indicado se incumple la presente disposición por motivos imputables al operador, se tendrá por demostrado que no existe interés de la concesionaria en la renovación correspondiente, por lo que no se tendrá por renovada la concesión,</w:t>
      </w:r>
      <w:r w:rsidR="00FA1731" w:rsidRPr="00FA1731">
        <w:rPr>
          <w:rFonts w:ascii="Verdana" w:hAnsi="Verdana" w:cs="Verdana"/>
          <w:i/>
          <w:iCs/>
          <w:spacing w:val="6"/>
          <w:sz w:val="15"/>
          <w:szCs w:val="15"/>
          <w:lang w:val="es-ES" w:eastAsia="es-ES"/>
        </w:rPr>
        <w:t xml:space="preserve"> </w:t>
      </w:r>
      <w:r w:rsidRPr="00FA1731">
        <w:rPr>
          <w:rFonts w:ascii="Verdana" w:hAnsi="Verdana" w:cs="Verdana"/>
          <w:i/>
          <w:iCs/>
          <w:sz w:val="15"/>
          <w:szCs w:val="15"/>
          <w:lang w:val="es-ES" w:eastAsia="es-ES"/>
        </w:rPr>
        <w:t>procediendo el Consejo de Transporte Público a publicar el respectivo cartel de licitación a la mayor brevedad, sin posibilidad de indemnización alguna al operador o concesionario.</w:t>
      </w:r>
    </w:p>
    <w:p w:rsidR="0034601D" w:rsidRDefault="00FA5927">
      <w:pPr>
        <w:numPr>
          <w:ilvl w:val="0"/>
          <w:numId w:val="2"/>
        </w:numPr>
        <w:kinsoku w:val="0"/>
        <w:overflowPunct w:val="0"/>
        <w:autoSpaceDE/>
        <w:autoSpaceDN/>
        <w:adjustRightInd/>
        <w:spacing w:before="12" w:line="195" w:lineRule="exact"/>
        <w:ind w:right="144"/>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 xml:space="preserve">La concesionaria deberá rendir una garantía de cumplimiento de la concesión conforme con lo establecido en el acuerdo de Junta Directiva, artículo número </w:t>
      </w:r>
      <w:r>
        <w:rPr>
          <w:rFonts w:ascii="Verdana" w:hAnsi="Verdana" w:cs="Verdana"/>
          <w:b/>
          <w:bCs/>
          <w:i/>
          <w:iCs/>
          <w:spacing w:val="4"/>
          <w:sz w:val="15"/>
          <w:szCs w:val="15"/>
          <w:lang w:val="es-ES" w:eastAsia="es-ES"/>
        </w:rPr>
        <w:t xml:space="preserve">6.1.2. </w:t>
      </w:r>
      <w:r>
        <w:rPr>
          <w:rFonts w:ascii="Verdana" w:hAnsi="Verdana" w:cs="Verdana"/>
          <w:i/>
          <w:iCs/>
          <w:spacing w:val="4"/>
          <w:sz w:val="15"/>
          <w:szCs w:val="15"/>
          <w:lang w:val="es-ES" w:eastAsia="es-ES"/>
        </w:rPr>
        <w:t xml:space="preserve">de la Sesión Ordinaria número </w:t>
      </w:r>
      <w:r>
        <w:rPr>
          <w:rFonts w:ascii="Verdana" w:hAnsi="Verdana" w:cs="Verdana"/>
          <w:b/>
          <w:bCs/>
          <w:i/>
          <w:iCs/>
          <w:spacing w:val="4"/>
          <w:sz w:val="15"/>
          <w:szCs w:val="15"/>
          <w:lang w:val="es-ES" w:eastAsia="es-ES"/>
        </w:rPr>
        <w:t xml:space="preserve">32-2014, </w:t>
      </w:r>
      <w:r>
        <w:rPr>
          <w:rFonts w:ascii="Verdana" w:hAnsi="Verdana" w:cs="Verdana"/>
          <w:i/>
          <w:iCs/>
          <w:spacing w:val="4"/>
          <w:sz w:val="15"/>
          <w:szCs w:val="15"/>
          <w:lang w:val="es-ES" w:eastAsia="es-ES"/>
        </w:rPr>
        <w:t xml:space="preserve">de fecha </w:t>
      </w:r>
      <w:r>
        <w:rPr>
          <w:rFonts w:ascii="Verdana" w:hAnsi="Verdana" w:cs="Verdana"/>
          <w:b/>
          <w:bCs/>
          <w:i/>
          <w:iCs/>
          <w:spacing w:val="4"/>
          <w:sz w:val="15"/>
          <w:szCs w:val="15"/>
          <w:lang w:val="es-ES" w:eastAsia="es-ES"/>
        </w:rPr>
        <w:t xml:space="preserve">28 Abril 2014, </w:t>
      </w:r>
      <w:r>
        <w:rPr>
          <w:rFonts w:ascii="Verdana" w:hAnsi="Verdana" w:cs="Verdana"/>
          <w:i/>
          <w:iCs/>
          <w:spacing w:val="4"/>
          <w:sz w:val="15"/>
          <w:szCs w:val="15"/>
          <w:lang w:val="es-ES" w:eastAsia="es-ES"/>
        </w:rPr>
        <w:t>en cuanto a la fórmula de cálculo y vigencia (actualizando el valor de las unidades conforme se indica en dicho acuerdo), lo que constituye requisito indispensable para la firma del contrato de concesión. Dicha garantía debe ser depositada en la cuenta a nombre del Consejo de Transporte Público en la Sección de Valores en Custodia del Banco Nacional de Costa Rica No. 7980. La garantía se constituye para respaldar todas aquellas obligaciones derivadas de la concesión, incluidos los efectos que se puedan derivar en caso de procederse a la ejecución directa de los servicios.</w:t>
      </w:r>
    </w:p>
    <w:p w:rsidR="0034601D" w:rsidRDefault="00FA5927">
      <w:pPr>
        <w:numPr>
          <w:ilvl w:val="0"/>
          <w:numId w:val="2"/>
        </w:numPr>
        <w:kinsoku w:val="0"/>
        <w:overflowPunct w:val="0"/>
        <w:autoSpaceDE/>
        <w:autoSpaceDN/>
        <w:adjustRightInd/>
        <w:spacing w:before="8" w:line="195" w:lineRule="exact"/>
        <w:ind w:right="144"/>
        <w:jc w:val="both"/>
        <w:textAlignment w:val="baseline"/>
        <w:rPr>
          <w:rFonts w:ascii="Verdana" w:hAnsi="Verdana" w:cs="Verdana"/>
          <w:i/>
          <w:iCs/>
          <w:spacing w:val="4"/>
          <w:sz w:val="15"/>
          <w:szCs w:val="15"/>
          <w:lang w:val="es-ES" w:eastAsia="es-ES"/>
        </w:rPr>
      </w:pPr>
      <w:r>
        <w:rPr>
          <w:rFonts w:ascii="Verdana" w:hAnsi="Verdana" w:cs="Verdana"/>
          <w:i/>
          <w:iCs/>
          <w:spacing w:val="4"/>
          <w:sz w:val="15"/>
          <w:szCs w:val="15"/>
          <w:lang w:val="es-ES" w:eastAsia="es-ES"/>
        </w:rPr>
        <w:t>Para la suscripción del respectivo contrato de concesión, conforme a los requisitos formales establecidos, el representante de la concesionaria deberá presentarse ante la Dirección de Asuntos Jurídicos del Consejo de Transporte Público, cuando sea debidamente citado al lugar señalado por la empresa para recibir notificaciones, plazo que no será mayor de treinta días naturales contados a partir de la presentación de los requisitos por parte del concesionario. Si transcurrido el plazo indicado se incumple la presente disposición por motivos imputables al operador, se tendrá, sin más trámite, por no renovada la concesión, procediendo el Consejo de Transporte Público a publicar el respectivo cartel de licitación a la mayor brevedad, sin posibilidad de indemnización alguna al operador o concesionario. De conformidad con las disposiciones de la Ley No 3503 reformada por la Ley No 7593, el contrato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el entendido que el título habilitante será del concesionario cuyo contrato de concesión está en proceso de refrendo.</w:t>
      </w:r>
    </w:p>
    <w:p w:rsidR="0034601D" w:rsidRDefault="00FA5927">
      <w:pPr>
        <w:numPr>
          <w:ilvl w:val="0"/>
          <w:numId w:val="2"/>
        </w:numPr>
        <w:kinsoku w:val="0"/>
        <w:overflowPunct w:val="0"/>
        <w:autoSpaceDE/>
        <w:autoSpaceDN/>
        <w:adjustRightInd/>
        <w:spacing w:line="194" w:lineRule="exact"/>
        <w:ind w:right="144"/>
        <w:jc w:val="both"/>
        <w:textAlignment w:val="baseline"/>
        <w:rPr>
          <w:rFonts w:ascii="Verdana" w:hAnsi="Verdana" w:cs="Verdana"/>
          <w:i/>
          <w:iCs/>
          <w:spacing w:val="5"/>
          <w:sz w:val="15"/>
          <w:szCs w:val="15"/>
          <w:lang w:val="es-ES" w:eastAsia="es-ES"/>
        </w:rPr>
      </w:pPr>
      <w:r>
        <w:rPr>
          <w:rFonts w:ascii="Verdana" w:hAnsi="Verdana" w:cs="Verdana"/>
          <w:i/>
          <w:iCs/>
          <w:spacing w:val="5"/>
          <w:sz w:val="15"/>
          <w:szCs w:val="15"/>
          <w:lang w:val="es-ES" w:eastAsia="es-ES"/>
        </w:rPr>
        <w:t>El concesionario podrá renunciar al derecho de su concesión de forma voluntaria en el transcurso de su vigencia, previa comunicación al Consejo de Transporte Público, otorgando a éste</w:t>
      </w:r>
    </w:p>
    <w:p w:rsidR="0034601D" w:rsidRDefault="0034601D">
      <w:pPr>
        <w:widowControl/>
        <w:rPr>
          <w:sz w:val="24"/>
          <w:szCs w:val="24"/>
        </w:rPr>
        <w:sectPr w:rsidR="0034601D">
          <w:pgSz w:w="12134" w:h="15840"/>
          <w:pgMar w:top="820" w:right="1780" w:bottom="284" w:left="2074" w:header="720" w:footer="720" w:gutter="0"/>
          <w:cols w:space="720"/>
          <w:noEndnote/>
        </w:sectPr>
      </w:pPr>
    </w:p>
    <w:p w:rsidR="0034601D" w:rsidRDefault="00FA5927">
      <w:pPr>
        <w:kinsoku w:val="0"/>
        <w:overflowPunct w:val="0"/>
        <w:autoSpaceDE/>
        <w:autoSpaceDN/>
        <w:adjustRightInd/>
        <w:spacing w:before="18" w:line="190" w:lineRule="exact"/>
        <w:ind w:left="504" w:right="504"/>
        <w:jc w:val="both"/>
        <w:textAlignment w:val="baseline"/>
        <w:rPr>
          <w:rFonts w:ascii="Verdana" w:hAnsi="Verdana" w:cs="Verdana"/>
          <w:i/>
          <w:iCs/>
          <w:spacing w:val="5"/>
          <w:sz w:val="15"/>
          <w:szCs w:val="15"/>
          <w:lang w:val="es-ES" w:eastAsia="es-ES"/>
        </w:rPr>
      </w:pPr>
      <w:r>
        <w:rPr>
          <w:rFonts w:ascii="Verdana" w:hAnsi="Verdana" w:cs="Verdana"/>
          <w:i/>
          <w:iCs/>
          <w:spacing w:val="5"/>
          <w:sz w:val="15"/>
          <w:szCs w:val="15"/>
          <w:lang w:val="es-ES" w:eastAsia="es-ES"/>
        </w:rPr>
        <w:lastRenderedPageBreak/>
        <w:t xml:space="preserve">un plazo de 90 días, para que el servicio sea asumido por otro operador mientras se procede con el trámite de Licitación Pública, sin responsabilidad para la Administración de indemnización o reparación de ningún tipo a favor del concesionario. En estos casos, en </w:t>
      </w:r>
      <w:r>
        <w:rPr>
          <w:rFonts w:ascii="Verdana" w:hAnsi="Verdana" w:cs="Verdana"/>
          <w:spacing w:val="5"/>
          <w:sz w:val="15"/>
          <w:szCs w:val="15"/>
          <w:lang w:val="es-ES" w:eastAsia="es-ES"/>
        </w:rPr>
        <w:t xml:space="preserve">el </w:t>
      </w:r>
      <w:r>
        <w:rPr>
          <w:rFonts w:ascii="Verdana" w:hAnsi="Verdana" w:cs="Verdana"/>
          <w:i/>
          <w:iCs/>
          <w:spacing w:val="5"/>
          <w:sz w:val="15"/>
          <w:szCs w:val="15"/>
          <w:lang w:val="es-ES" w:eastAsia="es-ES"/>
        </w:rPr>
        <w:t>contrato de concesión se determinarán las sanciones que corresponden a los concesionarios que renuncien o no cumplan con el contrato de concesión.</w:t>
      </w:r>
    </w:p>
    <w:p w:rsidR="0034601D" w:rsidRDefault="00FA5927">
      <w:pPr>
        <w:numPr>
          <w:ilvl w:val="0"/>
          <w:numId w:val="3"/>
        </w:numPr>
        <w:kinsoku w:val="0"/>
        <w:overflowPunct w:val="0"/>
        <w:autoSpaceDE/>
        <w:autoSpaceDN/>
        <w:adjustRightInd/>
        <w:spacing w:before="41" w:line="190" w:lineRule="exact"/>
        <w:ind w:right="504"/>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La Dirección de Asesoría Jurídica de este Consejo procederá a elaborar los contratos de concesión que deben suscribir los concesionarios de conformidad con el presente acuerdo.</w:t>
      </w:r>
    </w:p>
    <w:p w:rsidR="0034601D" w:rsidRDefault="00FA5927">
      <w:pPr>
        <w:numPr>
          <w:ilvl w:val="0"/>
          <w:numId w:val="3"/>
        </w:numPr>
        <w:kinsoku w:val="0"/>
        <w:overflowPunct w:val="0"/>
        <w:autoSpaceDE/>
        <w:autoSpaceDN/>
        <w:adjustRightInd/>
        <w:spacing w:line="194" w:lineRule="exact"/>
        <w:ind w:right="504"/>
        <w:jc w:val="both"/>
        <w:textAlignment w:val="baseline"/>
        <w:rPr>
          <w:rFonts w:ascii="Verdana" w:hAnsi="Verdana" w:cs="Verdana"/>
          <w:i/>
          <w:iCs/>
          <w:spacing w:val="6"/>
          <w:sz w:val="15"/>
          <w:szCs w:val="15"/>
          <w:lang w:val="es-ES" w:eastAsia="es-ES"/>
        </w:rPr>
      </w:pPr>
      <w:r>
        <w:rPr>
          <w:rFonts w:ascii="Verdana" w:hAnsi="Verdana" w:cs="Verdana"/>
          <w:i/>
          <w:iCs/>
          <w:spacing w:val="6"/>
          <w:sz w:val="15"/>
          <w:szCs w:val="15"/>
          <w:lang w:val="es-ES" w:eastAsia="es-ES"/>
        </w:rPr>
        <w:t xml:space="preserve">Notificar a Dirección Ejecutiva(PARA </w:t>
      </w:r>
      <w:r>
        <w:rPr>
          <w:rFonts w:ascii="Verdana" w:hAnsi="Verdana" w:cs="Verdana"/>
          <w:b/>
          <w:bCs/>
          <w:i/>
          <w:iCs/>
          <w:spacing w:val="6"/>
          <w:sz w:val="15"/>
          <w:szCs w:val="15"/>
          <w:lang w:val="es-ES" w:eastAsia="es-ES"/>
        </w:rPr>
        <w:t xml:space="preserve">QUE INDIQUE EN EL DIARIO OFICIAL LA GACETA QUE ESTOS ACUERDOS SE ENCUENTRAN EXPUESTOS EN LA PÁGINA WEB DE ESTE CONSEJO), </w:t>
      </w:r>
      <w:r>
        <w:rPr>
          <w:rFonts w:ascii="Verdana" w:hAnsi="Verdana" w:cs="Verdana"/>
          <w:i/>
          <w:iCs/>
          <w:spacing w:val="6"/>
          <w:sz w:val="15"/>
          <w:szCs w:val="15"/>
          <w:lang w:val="es-ES" w:eastAsia="es-ES"/>
        </w:rPr>
        <w:t xml:space="preserve">Ing. Aura </w:t>
      </w:r>
      <w:proofErr w:type="spellStart"/>
      <w:r>
        <w:rPr>
          <w:rFonts w:ascii="Verdana" w:hAnsi="Verdana" w:cs="Verdana"/>
          <w:i/>
          <w:iCs/>
          <w:spacing w:val="6"/>
          <w:sz w:val="15"/>
          <w:szCs w:val="15"/>
          <w:lang w:val="es-ES" w:eastAsia="es-ES"/>
        </w:rPr>
        <w:t>Alvarez</w:t>
      </w:r>
      <w:proofErr w:type="spellEnd"/>
      <w:r>
        <w:rPr>
          <w:rFonts w:ascii="Verdana" w:hAnsi="Verdana" w:cs="Verdana"/>
          <w:i/>
          <w:iCs/>
          <w:spacing w:val="6"/>
          <w:sz w:val="15"/>
          <w:szCs w:val="15"/>
          <w:lang w:val="es-ES" w:eastAsia="es-ES"/>
        </w:rPr>
        <w:t xml:space="preserve"> Orozco, Directora Técnica, </w:t>
      </w:r>
      <w:proofErr w:type="spellStart"/>
      <w:r>
        <w:rPr>
          <w:rFonts w:ascii="Verdana" w:hAnsi="Verdana" w:cs="Verdana"/>
          <w:i/>
          <w:iCs/>
          <w:spacing w:val="6"/>
          <w:sz w:val="15"/>
          <w:szCs w:val="15"/>
          <w:lang w:val="es-ES" w:eastAsia="es-ES"/>
        </w:rPr>
        <w:t>emelt</w:t>
      </w:r>
      <w:proofErr w:type="spellEnd"/>
      <w:r>
        <w:rPr>
          <w:rFonts w:ascii="Verdana" w:hAnsi="Verdana" w:cs="Verdana"/>
          <w:i/>
          <w:iCs/>
          <w:spacing w:val="6"/>
          <w:sz w:val="15"/>
          <w:szCs w:val="15"/>
          <w:lang w:val="es-ES" w:eastAsia="es-ES"/>
        </w:rPr>
        <w:t xml:space="preserve">: </w:t>
      </w:r>
      <w:hyperlink r:id="rId5" w:history="1">
        <w:r w:rsidR="00FA1731" w:rsidRPr="00AF7FFC">
          <w:rPr>
            <w:rStyle w:val="Hipervnculo"/>
            <w:rFonts w:ascii="Verdana" w:hAnsi="Verdana" w:cs="Verdana"/>
            <w:i/>
            <w:iCs/>
            <w:spacing w:val="6"/>
            <w:sz w:val="15"/>
            <w:szCs w:val="15"/>
            <w:lang w:val="es-ES" w:eastAsia="es-ES"/>
          </w:rPr>
          <w:t>aorozco@ctp.go.cr</w:t>
        </w:r>
      </w:hyperlink>
      <w:r>
        <w:rPr>
          <w:rFonts w:ascii="Verdana" w:hAnsi="Verdana" w:cs="Verdana"/>
          <w:i/>
          <w:iCs/>
          <w:spacing w:val="6"/>
          <w:sz w:val="15"/>
          <w:szCs w:val="15"/>
          <w:lang w:val="es-ES" w:eastAsia="es-ES"/>
        </w:rPr>
        <w:t xml:space="preserve"> , </w:t>
      </w:r>
      <w:r>
        <w:rPr>
          <w:rFonts w:ascii="Verdana" w:hAnsi="Verdana" w:cs="Verdana"/>
          <w:i/>
          <w:iCs/>
          <w:spacing w:val="6"/>
          <w:sz w:val="12"/>
          <w:szCs w:val="12"/>
          <w:lang w:val="es-ES" w:eastAsia="es-ES"/>
        </w:rPr>
        <w:t xml:space="preserve">Lic. </w:t>
      </w:r>
      <w:proofErr w:type="spellStart"/>
      <w:r>
        <w:rPr>
          <w:rFonts w:ascii="Verdana" w:hAnsi="Verdana" w:cs="Verdana"/>
          <w:i/>
          <w:iCs/>
          <w:spacing w:val="6"/>
          <w:sz w:val="12"/>
          <w:szCs w:val="12"/>
          <w:lang w:val="es-ES" w:eastAsia="es-ES"/>
        </w:rPr>
        <w:t>Glrla</w:t>
      </w:r>
      <w:proofErr w:type="spellEnd"/>
      <w:r>
        <w:rPr>
          <w:rFonts w:ascii="Verdana" w:hAnsi="Verdana" w:cs="Verdana"/>
          <w:i/>
          <w:iCs/>
          <w:spacing w:val="6"/>
          <w:sz w:val="12"/>
          <w:szCs w:val="12"/>
          <w:lang w:val="es-ES" w:eastAsia="es-ES"/>
        </w:rPr>
        <w:t xml:space="preserve"> </w:t>
      </w:r>
      <w:proofErr w:type="spellStart"/>
      <w:r>
        <w:rPr>
          <w:rFonts w:ascii="Verdana" w:hAnsi="Verdana" w:cs="Verdana"/>
          <w:i/>
          <w:iCs/>
          <w:spacing w:val="6"/>
          <w:sz w:val="15"/>
          <w:szCs w:val="15"/>
          <w:lang w:val="es-ES" w:eastAsia="es-ES"/>
        </w:rPr>
        <w:t>Ramirez</w:t>
      </w:r>
      <w:proofErr w:type="spellEnd"/>
      <w:r>
        <w:rPr>
          <w:rFonts w:ascii="Verdana" w:hAnsi="Verdana" w:cs="Verdana"/>
          <w:i/>
          <w:iCs/>
          <w:spacing w:val="6"/>
          <w:sz w:val="15"/>
          <w:szCs w:val="15"/>
          <w:lang w:val="es-ES" w:eastAsia="es-ES"/>
        </w:rPr>
        <w:t xml:space="preserve">, Depto. Concesiones y Permisos, </w:t>
      </w:r>
      <w:hyperlink r:id="rId6" w:history="1">
        <w:r>
          <w:rPr>
            <w:rFonts w:ascii="Verdana" w:hAnsi="Verdana" w:cs="Verdana"/>
            <w:i/>
            <w:iCs/>
            <w:color w:val="0000FF"/>
            <w:spacing w:val="6"/>
            <w:sz w:val="15"/>
            <w:szCs w:val="15"/>
            <w:u w:val="single"/>
            <w:lang w:val="es-ES" w:eastAsia="es-ES"/>
          </w:rPr>
          <w:t>email: gramirez@ctp.go.cr,</w:t>
        </w:r>
      </w:hyperlink>
      <w:r>
        <w:rPr>
          <w:rFonts w:ascii="Verdana" w:hAnsi="Verdana" w:cs="Verdana"/>
          <w:i/>
          <w:iCs/>
          <w:spacing w:val="6"/>
          <w:sz w:val="15"/>
          <w:szCs w:val="15"/>
          <w:lang w:val="es-ES" w:eastAsia="es-ES"/>
        </w:rPr>
        <w:t xml:space="preserve"> , Lic. </w:t>
      </w:r>
      <w:proofErr w:type="spellStart"/>
      <w:r>
        <w:rPr>
          <w:rFonts w:ascii="Verdana" w:hAnsi="Verdana" w:cs="Verdana"/>
          <w:i/>
          <w:iCs/>
          <w:spacing w:val="6"/>
          <w:sz w:val="15"/>
          <w:szCs w:val="15"/>
          <w:lang w:val="es-ES" w:eastAsia="es-ES"/>
        </w:rPr>
        <w:t>Sidia</w:t>
      </w:r>
      <w:proofErr w:type="spellEnd"/>
      <w:r>
        <w:rPr>
          <w:rFonts w:ascii="Verdana" w:hAnsi="Verdana" w:cs="Verdana"/>
          <w:i/>
          <w:iCs/>
          <w:spacing w:val="6"/>
          <w:sz w:val="15"/>
          <w:szCs w:val="15"/>
          <w:lang w:val="es-ES" w:eastAsia="es-ES"/>
        </w:rPr>
        <w:t xml:space="preserve"> Cerdas. Directora Jurídica, </w:t>
      </w:r>
      <w:hyperlink r:id="rId7" w:history="1">
        <w:r>
          <w:rPr>
            <w:rFonts w:ascii="Verdana" w:hAnsi="Verdana" w:cs="Verdana"/>
            <w:i/>
            <w:iCs/>
            <w:color w:val="0000FF"/>
            <w:spacing w:val="6"/>
            <w:sz w:val="15"/>
            <w:szCs w:val="15"/>
            <w:u w:val="single"/>
            <w:lang w:val="es-ES" w:eastAsia="es-ES"/>
          </w:rPr>
          <w:t>email: scerdas@ctp.go.cr</w:t>
        </w:r>
      </w:hyperlink>
      <w:r>
        <w:rPr>
          <w:rFonts w:ascii="Verdana" w:hAnsi="Verdana" w:cs="Verdana"/>
          <w:i/>
          <w:iCs/>
          <w:spacing w:val="6"/>
          <w:sz w:val="15"/>
          <w:szCs w:val="15"/>
          <w:lang w:val="es-ES" w:eastAsia="es-ES"/>
        </w:rPr>
        <w:t xml:space="preserve"> , Lic. Luis Brenes, Jefe </w:t>
      </w:r>
      <w:proofErr w:type="spellStart"/>
      <w:r>
        <w:rPr>
          <w:rFonts w:ascii="Verdana" w:hAnsi="Verdana" w:cs="Verdana"/>
          <w:i/>
          <w:iCs/>
          <w:spacing w:val="6"/>
          <w:sz w:val="15"/>
          <w:szCs w:val="15"/>
          <w:lang w:val="es-ES" w:eastAsia="es-ES"/>
        </w:rPr>
        <w:t>Contraloria</w:t>
      </w:r>
      <w:proofErr w:type="spellEnd"/>
      <w:r>
        <w:rPr>
          <w:rFonts w:ascii="Verdana" w:hAnsi="Verdana" w:cs="Verdana"/>
          <w:i/>
          <w:iCs/>
          <w:spacing w:val="6"/>
          <w:sz w:val="15"/>
          <w:szCs w:val="15"/>
          <w:lang w:val="es-ES" w:eastAsia="es-ES"/>
        </w:rPr>
        <w:t xml:space="preserve"> Servicios </w:t>
      </w:r>
      <w:r>
        <w:rPr>
          <w:rFonts w:ascii="Verdana" w:hAnsi="Verdana" w:cs="Verdana"/>
          <w:b/>
          <w:bCs/>
          <w:i/>
          <w:iCs/>
          <w:spacing w:val="6"/>
          <w:sz w:val="15"/>
          <w:szCs w:val="15"/>
          <w:lang w:val="es-ES" w:eastAsia="es-ES"/>
        </w:rPr>
        <w:t xml:space="preserve">(COORDINAR EXPONER ACUERDO EN LA PÁGINA WEB DE ESTE CONSEJO), </w:t>
      </w:r>
      <w:hyperlink r:id="rId8" w:history="1">
        <w:r w:rsidR="00FA1731" w:rsidRPr="00AF7FFC">
          <w:rPr>
            <w:rStyle w:val="Hipervnculo"/>
            <w:rFonts w:ascii="Verdana" w:hAnsi="Verdana" w:cs="Verdana"/>
            <w:i/>
            <w:iCs/>
            <w:spacing w:val="6"/>
            <w:sz w:val="15"/>
            <w:szCs w:val="15"/>
            <w:lang w:val="es-ES" w:eastAsia="es-ES"/>
          </w:rPr>
          <w:t>email: Ibrenes@ctp.go.cr</w:t>
        </w:r>
      </w:hyperlink>
      <w:r>
        <w:rPr>
          <w:rFonts w:ascii="Verdana" w:hAnsi="Verdana" w:cs="Verdana"/>
          <w:i/>
          <w:iCs/>
          <w:spacing w:val="6"/>
          <w:sz w:val="15"/>
          <w:szCs w:val="15"/>
          <w:lang w:val="es-ES" w:eastAsia="es-ES"/>
        </w:rPr>
        <w:t xml:space="preserve"> , Sr. Gilbert Retana, ARESEP, </w:t>
      </w:r>
      <w:hyperlink r:id="rId9" w:history="1">
        <w:r>
          <w:rPr>
            <w:rFonts w:ascii="Verdana" w:hAnsi="Verdana" w:cs="Verdana"/>
            <w:i/>
            <w:iCs/>
            <w:color w:val="0000FF"/>
            <w:spacing w:val="6"/>
            <w:sz w:val="15"/>
            <w:szCs w:val="15"/>
            <w:u w:val="single"/>
            <w:lang w:val="es-ES" w:eastAsia="es-ES"/>
          </w:rPr>
          <w:t>email: gretana@aresep.go.cr,</w:t>
        </w:r>
      </w:hyperlink>
      <w:r>
        <w:rPr>
          <w:rFonts w:ascii="Verdana" w:hAnsi="Verdana" w:cs="Verdana"/>
          <w:i/>
          <w:iCs/>
          <w:spacing w:val="6"/>
          <w:sz w:val="15"/>
          <w:szCs w:val="15"/>
          <w:lang w:val="es-ES" w:eastAsia="es-ES"/>
        </w:rPr>
        <w:t xml:space="preserve"> , Sr. Enrique Muñoz, Intendente Transportes ARESEP, </w:t>
      </w:r>
      <w:hyperlink r:id="rId10" w:history="1">
        <w:r>
          <w:rPr>
            <w:rFonts w:ascii="Verdana" w:hAnsi="Verdana" w:cs="Verdana"/>
            <w:i/>
            <w:iCs/>
            <w:color w:val="0000FF"/>
            <w:spacing w:val="6"/>
            <w:sz w:val="15"/>
            <w:szCs w:val="15"/>
            <w:u w:val="single"/>
            <w:lang w:val="es-ES" w:eastAsia="es-ES"/>
          </w:rPr>
          <w:t>email: munozae@aresep.go.cr,</w:t>
        </w:r>
      </w:hyperlink>
      <w:r>
        <w:rPr>
          <w:rFonts w:ascii="Verdana" w:hAnsi="Verdana" w:cs="Verdana"/>
          <w:i/>
          <w:iCs/>
          <w:spacing w:val="6"/>
          <w:sz w:val="15"/>
          <w:szCs w:val="15"/>
          <w:lang w:val="es-ES" w:eastAsia="es-ES"/>
        </w:rPr>
        <w:t xml:space="preserve"> Sr. Erick Gamboa, </w:t>
      </w:r>
      <w:proofErr w:type="spellStart"/>
      <w:r>
        <w:rPr>
          <w:rFonts w:ascii="Verdana" w:hAnsi="Verdana" w:cs="Verdana"/>
          <w:i/>
          <w:iCs/>
          <w:spacing w:val="6"/>
          <w:sz w:val="15"/>
          <w:szCs w:val="15"/>
          <w:lang w:val="es-ES" w:eastAsia="es-ES"/>
        </w:rPr>
        <w:t>Aresep</w:t>
      </w:r>
      <w:proofErr w:type="spellEnd"/>
      <w:r>
        <w:rPr>
          <w:rFonts w:ascii="Verdana" w:hAnsi="Verdana" w:cs="Verdana"/>
          <w:i/>
          <w:iCs/>
          <w:spacing w:val="6"/>
          <w:sz w:val="15"/>
          <w:szCs w:val="15"/>
          <w:lang w:val="es-ES" w:eastAsia="es-ES"/>
        </w:rPr>
        <w:t xml:space="preserve">, </w:t>
      </w:r>
      <w:proofErr w:type="spellStart"/>
      <w:r>
        <w:rPr>
          <w:rFonts w:ascii="Verdana" w:hAnsi="Verdana" w:cs="Verdana"/>
          <w:i/>
          <w:iCs/>
          <w:spacing w:val="6"/>
          <w:sz w:val="15"/>
          <w:szCs w:val="15"/>
          <w:lang w:val="es-ES" w:eastAsia="es-ES"/>
        </w:rPr>
        <w:t>emai</w:t>
      </w:r>
      <w:proofErr w:type="spellEnd"/>
      <w:r>
        <w:rPr>
          <w:rFonts w:ascii="Verdana" w:hAnsi="Verdana" w:cs="Verdana"/>
          <w:i/>
          <w:iCs/>
          <w:spacing w:val="6"/>
          <w:sz w:val="15"/>
          <w:szCs w:val="15"/>
          <w:lang w:val="es-ES" w:eastAsia="es-ES"/>
        </w:rPr>
        <w:t xml:space="preserve">/: </w:t>
      </w:r>
      <w:hyperlink r:id="rId11" w:history="1">
        <w:r>
          <w:rPr>
            <w:rFonts w:ascii="Verdana" w:hAnsi="Verdana" w:cs="Verdana"/>
            <w:i/>
            <w:iCs/>
            <w:color w:val="0000FF"/>
            <w:spacing w:val="6"/>
            <w:sz w:val="15"/>
            <w:szCs w:val="15"/>
            <w:u w:val="single"/>
            <w:lang w:val="es-ES" w:eastAsia="es-ES"/>
          </w:rPr>
          <w:t>gamboare@aresep.go.cr</w:t>
        </w:r>
      </w:hyperlink>
      <w:r>
        <w:rPr>
          <w:rFonts w:ascii="Verdana" w:hAnsi="Verdana" w:cs="Verdana"/>
          <w:i/>
          <w:iCs/>
          <w:spacing w:val="6"/>
          <w:sz w:val="15"/>
          <w:szCs w:val="15"/>
          <w:lang w:val="es-ES" w:eastAsia="es-ES"/>
        </w:rPr>
        <w:t xml:space="preserve"> , Sra. </w:t>
      </w:r>
      <w:proofErr w:type="spellStart"/>
      <w:r>
        <w:rPr>
          <w:rFonts w:ascii="Verdana" w:hAnsi="Verdana" w:cs="Verdana"/>
          <w:i/>
          <w:iCs/>
          <w:spacing w:val="6"/>
          <w:sz w:val="15"/>
          <w:szCs w:val="15"/>
          <w:lang w:val="es-ES" w:eastAsia="es-ES"/>
        </w:rPr>
        <w:t>Magally</w:t>
      </w:r>
      <w:proofErr w:type="spellEnd"/>
      <w:r>
        <w:rPr>
          <w:rFonts w:ascii="Verdana" w:hAnsi="Verdana" w:cs="Verdana"/>
          <w:i/>
          <w:iCs/>
          <w:spacing w:val="6"/>
          <w:sz w:val="15"/>
          <w:szCs w:val="15"/>
          <w:lang w:val="es-ES" w:eastAsia="es-ES"/>
        </w:rPr>
        <w:t xml:space="preserve"> Porras, ARESEP, </w:t>
      </w:r>
      <w:hyperlink r:id="rId12" w:history="1">
        <w:r>
          <w:rPr>
            <w:rFonts w:ascii="Verdana" w:hAnsi="Verdana" w:cs="Verdana"/>
            <w:i/>
            <w:iCs/>
            <w:color w:val="0000FF"/>
            <w:spacing w:val="6"/>
            <w:sz w:val="15"/>
            <w:szCs w:val="15"/>
            <w:u w:val="single"/>
            <w:lang w:val="es-ES" w:eastAsia="es-ES"/>
          </w:rPr>
          <w:t>email: mporras@aresep.go.cr,</w:t>
        </w:r>
      </w:hyperlink>
      <w:r>
        <w:rPr>
          <w:rFonts w:ascii="Verdana" w:hAnsi="Verdana" w:cs="Verdana"/>
          <w:i/>
          <w:iCs/>
          <w:spacing w:val="6"/>
          <w:sz w:val="15"/>
          <w:szCs w:val="15"/>
          <w:lang w:val="es-ES" w:eastAsia="es-ES"/>
        </w:rPr>
        <w:t xml:space="preserve"> , Empresa </w:t>
      </w:r>
      <w:proofErr w:type="spellStart"/>
      <w:r>
        <w:rPr>
          <w:rFonts w:ascii="Verdana" w:hAnsi="Verdana" w:cs="Verdana"/>
          <w:i/>
          <w:iCs/>
          <w:spacing w:val="6"/>
          <w:sz w:val="15"/>
          <w:szCs w:val="15"/>
          <w:lang w:val="es-ES" w:eastAsia="es-ES"/>
        </w:rPr>
        <w:t>Tralapa</w:t>
      </w:r>
      <w:proofErr w:type="spellEnd"/>
      <w:r>
        <w:rPr>
          <w:rFonts w:ascii="Verdana" w:hAnsi="Verdana" w:cs="Verdana"/>
          <w:i/>
          <w:iCs/>
          <w:spacing w:val="6"/>
          <w:sz w:val="15"/>
          <w:szCs w:val="15"/>
          <w:lang w:val="es-ES" w:eastAsia="es-ES"/>
        </w:rPr>
        <w:t xml:space="preserve"> Limitada , email: </w:t>
      </w:r>
      <w:hyperlink r:id="rId13" w:history="1">
        <w:r>
          <w:rPr>
            <w:rFonts w:ascii="Verdana" w:hAnsi="Verdana" w:cs="Verdana"/>
            <w:i/>
            <w:iCs/>
            <w:color w:val="0000FF"/>
            <w:spacing w:val="6"/>
            <w:sz w:val="15"/>
            <w:szCs w:val="15"/>
            <w:u w:val="single"/>
            <w:lang w:val="es-ES" w:eastAsia="es-ES"/>
          </w:rPr>
          <w:t>tralapaeice.co.cr</w:t>
        </w:r>
      </w:hyperlink>
    </w:p>
    <w:p w:rsidR="0034601D" w:rsidRDefault="00FA5927">
      <w:pPr>
        <w:numPr>
          <w:ilvl w:val="0"/>
          <w:numId w:val="4"/>
        </w:numPr>
        <w:kinsoku w:val="0"/>
        <w:overflowPunct w:val="0"/>
        <w:autoSpaceDE/>
        <w:autoSpaceDN/>
        <w:adjustRightInd/>
        <w:spacing w:before="85" w:line="211" w:lineRule="exact"/>
        <w:ind w:right="72"/>
        <w:jc w:val="both"/>
        <w:textAlignment w:val="baseline"/>
        <w:rPr>
          <w:i/>
          <w:iCs/>
          <w:spacing w:val="9"/>
          <w:lang w:val="es-ES" w:eastAsia="es-ES"/>
        </w:rPr>
      </w:pPr>
      <w:r>
        <w:rPr>
          <w:i/>
          <w:iCs/>
          <w:spacing w:val="9"/>
          <w:lang w:val="es-ES" w:eastAsia="es-ES"/>
        </w:rPr>
        <w:t>Se declara firme.</w:t>
      </w:r>
    </w:p>
    <w:p w:rsidR="0034601D" w:rsidRDefault="00FA5927">
      <w:pPr>
        <w:kinsoku w:val="0"/>
        <w:overflowPunct w:val="0"/>
        <w:autoSpaceDE/>
        <w:autoSpaceDN/>
        <w:adjustRightInd/>
        <w:spacing w:before="304" w:line="296" w:lineRule="exact"/>
        <w:ind w:left="144" w:right="72"/>
        <w:jc w:val="both"/>
        <w:textAlignment w:val="baseline"/>
        <w:rPr>
          <w:rFonts w:ascii="Verdana" w:hAnsi="Verdana" w:cs="Verdana"/>
          <w:sz w:val="23"/>
          <w:szCs w:val="23"/>
          <w:lang w:val="es-ES" w:eastAsia="es-ES"/>
        </w:rPr>
      </w:pPr>
      <w:r>
        <w:rPr>
          <w:rFonts w:ascii="Verdana" w:hAnsi="Verdana" w:cs="Verdana"/>
          <w:b/>
          <w:bCs/>
          <w:sz w:val="23"/>
          <w:szCs w:val="23"/>
          <w:lang w:val="es-ES" w:eastAsia="es-ES"/>
        </w:rPr>
        <w:t xml:space="preserve">SEGUNDO: </w:t>
      </w:r>
      <w:r>
        <w:rPr>
          <w:rFonts w:ascii="Verdana" w:hAnsi="Verdana" w:cs="Verdana"/>
          <w:sz w:val="23"/>
          <w:szCs w:val="23"/>
          <w:lang w:val="es-ES" w:eastAsia="es-ES"/>
        </w:rPr>
        <w:t>La empresa recurrente presenta recurso de Apelación en subsidio y nulidad contra el acuerdo impugnado indicando lo siguiente: (Léanse folios del 09 al 33 del expediente administrativo).</w:t>
      </w:r>
    </w:p>
    <w:p w:rsidR="0034601D" w:rsidRDefault="00FA5927">
      <w:pPr>
        <w:numPr>
          <w:ilvl w:val="0"/>
          <w:numId w:val="5"/>
        </w:numPr>
        <w:kinsoku w:val="0"/>
        <w:overflowPunct w:val="0"/>
        <w:autoSpaceDE/>
        <w:autoSpaceDN/>
        <w:adjustRightInd/>
        <w:spacing w:before="292" w:line="296" w:lineRule="exact"/>
        <w:ind w:right="72"/>
        <w:jc w:val="both"/>
        <w:textAlignment w:val="baseline"/>
        <w:rPr>
          <w:rFonts w:ascii="Verdana" w:hAnsi="Verdana" w:cs="Verdana"/>
          <w:spacing w:val="5"/>
          <w:sz w:val="23"/>
          <w:szCs w:val="23"/>
          <w:lang w:val="es-ES" w:eastAsia="es-ES"/>
        </w:rPr>
      </w:pPr>
      <w:r>
        <w:rPr>
          <w:rFonts w:ascii="Verdana" w:hAnsi="Verdana" w:cs="Verdana"/>
          <w:spacing w:val="5"/>
          <w:sz w:val="23"/>
          <w:szCs w:val="23"/>
          <w:lang w:val="es-ES" w:eastAsia="es-ES"/>
        </w:rPr>
        <w:t>Que cuenta con Legitimación se conformidad con los numerales 292.1 y 162 y 174 de la Ley General de la Administración Pública que hacen que la Legitimación se amplíe más allá del simple interés directo.</w:t>
      </w:r>
    </w:p>
    <w:p w:rsidR="00E856E7" w:rsidRDefault="00FA5927" w:rsidP="00FA1731">
      <w:pPr>
        <w:numPr>
          <w:ilvl w:val="0"/>
          <w:numId w:val="6"/>
        </w:numPr>
        <w:kinsoku w:val="0"/>
        <w:overflowPunct w:val="0"/>
        <w:autoSpaceDE/>
        <w:autoSpaceDN/>
        <w:adjustRightInd/>
        <w:spacing w:before="301" w:line="296" w:lineRule="exact"/>
        <w:ind w:right="72"/>
        <w:jc w:val="both"/>
        <w:textAlignment w:val="baseline"/>
        <w:rPr>
          <w:rFonts w:ascii="Verdana" w:hAnsi="Verdana" w:cs="Verdana"/>
          <w:spacing w:val="4"/>
          <w:sz w:val="23"/>
          <w:szCs w:val="23"/>
          <w:lang w:val="es-ES" w:eastAsia="es-ES"/>
        </w:rPr>
      </w:pPr>
      <w:r w:rsidRPr="00FA1731">
        <w:rPr>
          <w:rFonts w:ascii="Verdana" w:hAnsi="Verdana" w:cs="Verdana"/>
          <w:sz w:val="23"/>
          <w:szCs w:val="23"/>
          <w:lang w:val="es-ES" w:eastAsia="es-ES"/>
        </w:rPr>
        <w:t>Que presentaron solicitud para que se procediera a dar apertura a un procedimiento Administrativo sancionatorio contra la empresa T</w:t>
      </w:r>
      <w:r w:rsidR="00FA1731" w:rsidRPr="00FA1731">
        <w:rPr>
          <w:rFonts w:ascii="Verdana" w:hAnsi="Verdana" w:cs="Verdana"/>
          <w:sz w:val="23"/>
          <w:szCs w:val="23"/>
          <w:lang w:val="es-ES" w:eastAsia="es-ES"/>
        </w:rPr>
        <w:t>.</w:t>
      </w:r>
      <w:r w:rsidRPr="00FA1731">
        <w:rPr>
          <w:rFonts w:ascii="Verdana" w:hAnsi="Verdana" w:cs="Verdana"/>
          <w:sz w:val="23"/>
          <w:szCs w:val="23"/>
          <w:lang w:val="es-ES" w:eastAsia="es-ES"/>
        </w:rPr>
        <w:t>, acto que se dio el 14 de marzo de 2014 y que reiteraron el 21</w:t>
      </w:r>
      <w:r w:rsidR="00FA1731" w:rsidRPr="00FA1731">
        <w:rPr>
          <w:rFonts w:ascii="Verdana" w:hAnsi="Verdana" w:cs="Verdana"/>
          <w:sz w:val="23"/>
          <w:szCs w:val="23"/>
          <w:lang w:val="es-ES" w:eastAsia="es-ES"/>
        </w:rPr>
        <w:t xml:space="preserve"> </w:t>
      </w:r>
      <w:r w:rsidRPr="00FA1731">
        <w:rPr>
          <w:rFonts w:ascii="Verdana" w:hAnsi="Verdana" w:cs="Verdana"/>
          <w:sz w:val="23"/>
          <w:szCs w:val="23"/>
          <w:lang w:val="es-ES" w:eastAsia="es-ES"/>
        </w:rPr>
        <w:t>de abril de 2014.</w:t>
      </w:r>
      <w:r w:rsidR="00FA1731" w:rsidRPr="00FA1731">
        <w:rPr>
          <w:rFonts w:ascii="Verdana" w:hAnsi="Verdana" w:cs="Verdana"/>
          <w:sz w:val="23"/>
          <w:szCs w:val="23"/>
          <w:lang w:val="es-ES" w:eastAsia="es-ES"/>
        </w:rPr>
        <w:t xml:space="preserve"> </w:t>
      </w:r>
      <w:r w:rsidRPr="00FA1731">
        <w:rPr>
          <w:rFonts w:ascii="Verdana" w:hAnsi="Verdana" w:cs="Verdana"/>
          <w:sz w:val="23"/>
          <w:szCs w:val="23"/>
          <w:lang w:val="es-ES" w:eastAsia="es-ES"/>
        </w:rPr>
        <w:t>Los denunciados tiene que ver con graves</w:t>
      </w:r>
      <w:r w:rsidR="00FA1731" w:rsidRPr="00FA1731">
        <w:rPr>
          <w:rFonts w:ascii="Verdana" w:hAnsi="Verdana" w:cs="Verdana"/>
          <w:sz w:val="23"/>
          <w:szCs w:val="23"/>
          <w:lang w:val="es-ES" w:eastAsia="es-ES"/>
        </w:rPr>
        <w:t xml:space="preserve"> </w:t>
      </w:r>
      <w:r w:rsidRPr="00FA1731">
        <w:rPr>
          <w:rFonts w:ascii="Verdana" w:hAnsi="Verdana" w:cs="Verdana"/>
          <w:sz w:val="23"/>
          <w:szCs w:val="23"/>
          <w:lang w:val="es-ES" w:eastAsia="es-ES"/>
        </w:rPr>
        <w:t>incumplimientos de la empresa denunciada con la Caja Costarricense del Seguro Social, lo cual tiene incidencia directa en la renovación de concesiones y ellos solicitaron en el escrito presentado al CTP, que se abstuviera de tomar ningún acuerdo que otorgara derechos a la empresa T</w:t>
      </w:r>
      <w:r w:rsidR="00FA1731" w:rsidRPr="00FA1731">
        <w:rPr>
          <w:rFonts w:ascii="Verdana" w:hAnsi="Verdana" w:cs="Verdana"/>
          <w:sz w:val="23"/>
          <w:szCs w:val="23"/>
          <w:lang w:val="es-ES" w:eastAsia="es-ES"/>
        </w:rPr>
        <w:t>.L.</w:t>
      </w:r>
      <w:r w:rsidR="00FA1731" w:rsidRPr="00FA1731">
        <w:rPr>
          <w:rFonts w:ascii="Verdana" w:hAnsi="Verdana" w:cs="Verdana"/>
          <w:spacing w:val="4"/>
          <w:sz w:val="23"/>
          <w:szCs w:val="23"/>
          <w:lang w:val="es-ES" w:eastAsia="es-ES"/>
        </w:rPr>
        <w:t xml:space="preserve"> </w:t>
      </w:r>
    </w:p>
    <w:p w:rsidR="0034601D" w:rsidRPr="00E856E7" w:rsidRDefault="00FA5927" w:rsidP="00E856E7">
      <w:pPr>
        <w:numPr>
          <w:ilvl w:val="0"/>
          <w:numId w:val="6"/>
        </w:numPr>
        <w:kinsoku w:val="0"/>
        <w:overflowPunct w:val="0"/>
        <w:autoSpaceDE/>
        <w:autoSpaceDN/>
        <w:adjustRightInd/>
        <w:spacing w:before="301" w:line="290" w:lineRule="exact"/>
        <w:ind w:right="72"/>
        <w:jc w:val="both"/>
        <w:textAlignment w:val="baseline"/>
        <w:rPr>
          <w:rFonts w:ascii="Verdana" w:hAnsi="Verdana" w:cs="Verdana"/>
          <w:sz w:val="23"/>
          <w:szCs w:val="23"/>
          <w:lang w:val="es-ES" w:eastAsia="es-ES"/>
        </w:rPr>
      </w:pPr>
      <w:r w:rsidRPr="00E856E7">
        <w:rPr>
          <w:rFonts w:ascii="Verdana" w:hAnsi="Verdana" w:cs="Verdana"/>
          <w:spacing w:val="4"/>
          <w:sz w:val="23"/>
          <w:szCs w:val="23"/>
          <w:lang w:val="es-ES" w:eastAsia="es-ES"/>
        </w:rPr>
        <w:t>Su representada tiene interés en que se le integren los servicios correspondientes a las rutas 503-A y 570 operados por TRALAPA, dentro de la concesión que ostentan en la ruta 1507 y en la ruta 503 y si no se acepta esto mantiene interés en participar en el procedimiento licitatorio que se realice sobre esas rutas, por lo que han presentado sendos</w:t>
      </w:r>
      <w:r w:rsidR="00E856E7" w:rsidRPr="00E856E7">
        <w:rPr>
          <w:rFonts w:ascii="Verdana" w:hAnsi="Verdana" w:cs="Verdana"/>
          <w:spacing w:val="4"/>
          <w:sz w:val="23"/>
          <w:szCs w:val="23"/>
          <w:lang w:val="es-ES" w:eastAsia="es-ES"/>
        </w:rPr>
        <w:t xml:space="preserve"> </w:t>
      </w:r>
      <w:r w:rsidRPr="00E856E7">
        <w:rPr>
          <w:rFonts w:ascii="Verdana" w:hAnsi="Verdana" w:cs="Verdana"/>
          <w:sz w:val="23"/>
          <w:szCs w:val="23"/>
          <w:lang w:val="es-ES" w:eastAsia="es-ES"/>
        </w:rPr>
        <w:t>escritos de oposición a la renovació</w:t>
      </w:r>
      <w:r w:rsidR="00E856E7">
        <w:rPr>
          <w:rFonts w:ascii="Verdana" w:hAnsi="Verdana" w:cs="Verdana"/>
          <w:sz w:val="23"/>
          <w:szCs w:val="23"/>
          <w:lang w:val="es-ES" w:eastAsia="es-ES"/>
        </w:rPr>
        <w:t>n de la concesión de T.,</w:t>
      </w:r>
      <w:r w:rsidR="00E856E7">
        <w:rPr>
          <w:rFonts w:ascii="Verdana" w:hAnsi="Verdana" w:cs="Verdana"/>
          <w:sz w:val="23"/>
          <w:szCs w:val="23"/>
          <w:lang w:val="es-ES" w:eastAsia="es-ES"/>
        </w:rPr>
        <w:tab/>
        <w:t xml:space="preserve">lo </w:t>
      </w:r>
      <w:r w:rsidRPr="00E856E7">
        <w:rPr>
          <w:rFonts w:ascii="Verdana" w:hAnsi="Verdana" w:cs="Verdana"/>
          <w:sz w:val="23"/>
          <w:szCs w:val="23"/>
          <w:lang w:val="es-ES" w:eastAsia="es-ES"/>
        </w:rPr>
        <w:t>que los legitima para accionar.</w:t>
      </w:r>
    </w:p>
    <w:p w:rsidR="0034601D" w:rsidRDefault="00FA5927">
      <w:pPr>
        <w:numPr>
          <w:ilvl w:val="0"/>
          <w:numId w:val="5"/>
        </w:numPr>
        <w:kinsoku w:val="0"/>
        <w:overflowPunct w:val="0"/>
        <w:autoSpaceDE/>
        <w:autoSpaceDN/>
        <w:adjustRightInd/>
        <w:spacing w:before="283" w:line="296"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no ha cumplido con sus deberes de fiscalización y verificación de requisitos en la renovación de la concesión en las rutas 503-A y 570 ni se atendió a los criterios Legales en tal sentido.</w:t>
      </w:r>
    </w:p>
    <w:p w:rsidR="0034601D" w:rsidRDefault="00FA5927">
      <w:pPr>
        <w:numPr>
          <w:ilvl w:val="0"/>
          <w:numId w:val="6"/>
        </w:numPr>
        <w:kinsoku w:val="0"/>
        <w:overflowPunct w:val="0"/>
        <w:autoSpaceDE/>
        <w:autoSpaceDN/>
        <w:adjustRightInd/>
        <w:spacing w:before="311" w:line="287" w:lineRule="exact"/>
        <w:ind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Se le reduce la flota óptima de T</w:t>
      </w:r>
      <w:r w:rsidR="00E856E7">
        <w:rPr>
          <w:rFonts w:ascii="Verdana" w:hAnsi="Verdana" w:cs="Verdana"/>
          <w:sz w:val="23"/>
          <w:szCs w:val="23"/>
          <w:lang w:val="es-ES" w:eastAsia="es-ES"/>
        </w:rPr>
        <w:t>.L.,</w:t>
      </w:r>
      <w:r>
        <w:rPr>
          <w:rFonts w:ascii="Verdana" w:hAnsi="Verdana" w:cs="Verdana"/>
          <w:sz w:val="23"/>
          <w:szCs w:val="23"/>
          <w:lang w:val="es-ES" w:eastAsia="es-ES"/>
        </w:rPr>
        <w:t xml:space="preserve"> como acto previo para justificar el acto de renovación que tiene serios vicios de ilegalidad, en síntesis el acto violenta el principio de Legalidad pues se adopta al margen de los procedimientos y estudios técnicos y legales</w:t>
      </w:r>
    </w:p>
    <w:p w:rsidR="0034601D" w:rsidRDefault="0034601D">
      <w:pPr>
        <w:widowControl/>
        <w:rPr>
          <w:sz w:val="24"/>
          <w:szCs w:val="24"/>
        </w:rPr>
        <w:sectPr w:rsidR="0034601D">
          <w:pgSz w:w="12134" w:h="15840"/>
          <w:pgMar w:top="800" w:right="1464" w:bottom="324" w:left="1610" w:header="720" w:footer="720" w:gutter="0"/>
          <w:cols w:space="720"/>
          <w:noEndnote/>
        </w:sectPr>
      </w:pPr>
    </w:p>
    <w:p w:rsidR="0034601D" w:rsidRDefault="00FA5927">
      <w:pPr>
        <w:kinsoku w:val="0"/>
        <w:overflowPunct w:val="0"/>
        <w:autoSpaceDE/>
        <w:autoSpaceDN/>
        <w:adjustRightInd/>
        <w:spacing w:before="5" w:line="28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establecidos por el CTP, para llevar adelante el proceso de renovación y el acto está viciado en su Causa, motivo y Contenido.</w:t>
      </w:r>
    </w:p>
    <w:p w:rsidR="0034601D" w:rsidRDefault="00FA5927">
      <w:pPr>
        <w:kinsoku w:val="0"/>
        <w:overflowPunct w:val="0"/>
        <w:autoSpaceDE/>
        <w:autoSpaceDN/>
        <w:adjustRightInd/>
        <w:spacing w:before="308"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f).- Solicita se Revoque y se deje sin ningún efecto legal el acto impugnado y como consecuencia de lo anterior se deje sin efecto cualquier pretensión de subsanación de la etapa ya precluida de verificación de cumplimiento de las obligaciones contractuales.</w:t>
      </w:r>
    </w:p>
    <w:p w:rsidR="0034601D" w:rsidRDefault="00FA5927">
      <w:pPr>
        <w:kinsoku w:val="0"/>
        <w:overflowPunct w:val="0"/>
        <w:autoSpaceDE/>
        <w:autoSpaceDN/>
        <w:adjustRightInd/>
        <w:spacing w:before="288"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La Junta Directiva del Consejo de Transporte Público, mediante acuerdo </w:t>
      </w:r>
      <w:r>
        <w:rPr>
          <w:rFonts w:ascii="Verdana" w:hAnsi="Verdana" w:cs="Verdana"/>
          <w:b/>
          <w:bCs/>
          <w:sz w:val="24"/>
          <w:szCs w:val="24"/>
          <w:lang w:val="es-ES" w:eastAsia="es-ES"/>
        </w:rPr>
        <w:t xml:space="preserve">7.20 de la Sesión Ordinaria 77-2014 del 15 de diciembre de 2014, </w:t>
      </w:r>
      <w:r>
        <w:rPr>
          <w:rFonts w:ascii="Verdana" w:hAnsi="Verdana" w:cs="Verdana"/>
          <w:sz w:val="24"/>
          <w:szCs w:val="24"/>
          <w:lang w:val="es-ES" w:eastAsia="es-ES"/>
        </w:rPr>
        <w:t xml:space="preserve">conoce y avala el informe técnico </w:t>
      </w:r>
      <w:r>
        <w:rPr>
          <w:rFonts w:ascii="Verdana" w:hAnsi="Verdana" w:cs="Verdana"/>
          <w:b/>
          <w:bCs/>
          <w:sz w:val="24"/>
          <w:szCs w:val="24"/>
          <w:lang w:val="es-ES" w:eastAsia="es-ES"/>
        </w:rPr>
        <w:t>DA) 2014</w:t>
      </w:r>
      <w:r>
        <w:rPr>
          <w:rFonts w:ascii="Verdana" w:hAnsi="Verdana" w:cs="Verdana"/>
          <w:b/>
          <w:bCs/>
          <w:sz w:val="24"/>
          <w:szCs w:val="24"/>
          <w:lang w:val="es-ES" w:eastAsia="es-ES"/>
        </w:rPr>
        <w:softHyphen/>
        <w:t xml:space="preserve">004634 del 5 de diciembre de 2014 y </w:t>
      </w:r>
      <w:r>
        <w:rPr>
          <w:rFonts w:ascii="Verdana" w:hAnsi="Verdana" w:cs="Verdana"/>
          <w:sz w:val="24"/>
          <w:szCs w:val="24"/>
          <w:lang w:val="es-ES" w:eastAsia="es-ES"/>
        </w:rPr>
        <w:t>Rechaza el recurso de Revocatoria y la Nulidad por falta de legitimación de la recurrente. (véase folios 1 al del 7 del expediente administrativo)</w:t>
      </w:r>
    </w:p>
    <w:p w:rsidR="0034601D" w:rsidRDefault="00FA5927">
      <w:pPr>
        <w:kinsoku w:val="0"/>
        <w:overflowPunct w:val="0"/>
        <w:autoSpaceDE/>
        <w:autoSpaceDN/>
        <w:adjustRightInd/>
        <w:spacing w:before="522" w:line="29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En los procedimientos seguidos se han observado las prescripciones legales.</w:t>
      </w:r>
    </w:p>
    <w:p w:rsidR="0034601D" w:rsidRDefault="00FA5927">
      <w:pPr>
        <w:kinsoku w:val="0"/>
        <w:overflowPunct w:val="0"/>
        <w:autoSpaceDE/>
        <w:autoSpaceDN/>
        <w:adjustRightInd/>
        <w:spacing w:before="292" w:line="289"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la Jueza Pérez Peláez; y,</w:t>
      </w:r>
    </w:p>
    <w:p w:rsidR="0034601D" w:rsidRDefault="00FA5927">
      <w:pPr>
        <w:kinsoku w:val="0"/>
        <w:overflowPunct w:val="0"/>
        <w:autoSpaceDE/>
        <w:autoSpaceDN/>
        <w:adjustRightInd/>
        <w:spacing w:before="599" w:line="286" w:lineRule="exact"/>
        <w:ind w:left="72"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 UNICO</w:t>
      </w:r>
    </w:p>
    <w:p w:rsidR="0034601D" w:rsidRDefault="00FA5927">
      <w:pPr>
        <w:kinsoku w:val="0"/>
        <w:overflowPunct w:val="0"/>
        <w:autoSpaceDE/>
        <w:autoSpaceDN/>
        <w:adjustRightInd/>
        <w:spacing w:before="307" w:line="296"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SOBRE LA COMPETENCIA: </w:t>
      </w:r>
      <w:r>
        <w:rPr>
          <w:rFonts w:ascii="Verdana" w:hAnsi="Verdana" w:cs="Verdana"/>
          <w:spacing w:val="3"/>
          <w:sz w:val="24"/>
          <w:szCs w:val="24"/>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34601D" w:rsidRDefault="00FA5927">
      <w:pPr>
        <w:kinsoku w:val="0"/>
        <w:overflowPunct w:val="0"/>
        <w:autoSpaceDE/>
        <w:autoSpaceDN/>
        <w:adjustRightInd/>
        <w:spacing w:before="299" w:line="286" w:lineRule="exact"/>
        <w:ind w:left="72" w:right="72"/>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SOBRELA ADMISIBILIDAD DEL RECURSO</w:t>
      </w:r>
    </w:p>
    <w:p w:rsidR="0034601D" w:rsidRDefault="00FA5927">
      <w:pPr>
        <w:kinsoku w:val="0"/>
        <w:overflowPunct w:val="0"/>
        <w:autoSpaceDE/>
        <w:autoSpaceDN/>
        <w:adjustRightInd/>
        <w:spacing w:before="312" w:line="296"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El presente Recurso de Apelación, tiene como objeto la revocación del </w:t>
      </w:r>
      <w:r>
        <w:rPr>
          <w:rFonts w:ascii="Verdana" w:hAnsi="Verdana" w:cs="Verdana"/>
          <w:b/>
          <w:bCs/>
          <w:spacing w:val="1"/>
          <w:sz w:val="24"/>
          <w:szCs w:val="24"/>
          <w:lang w:val="es-ES" w:eastAsia="es-ES"/>
        </w:rPr>
        <w:t xml:space="preserve">artículo 1.5 de la Sesión Ordinaria 54-2014 del 25 de setiembre de 2014 celebrado por la Junta Directiva del Consejo de Transporte Público, </w:t>
      </w:r>
      <w:r>
        <w:rPr>
          <w:rFonts w:ascii="Verdana" w:hAnsi="Verdana" w:cs="Verdana"/>
          <w:spacing w:val="1"/>
          <w:sz w:val="24"/>
          <w:szCs w:val="24"/>
          <w:lang w:val="es-ES" w:eastAsia="es-ES"/>
        </w:rPr>
        <w:t xml:space="preserve">de modo que se revoque la renovación de la concesión a la empresa </w:t>
      </w:r>
      <w:r>
        <w:rPr>
          <w:rFonts w:ascii="Verdana" w:hAnsi="Verdana" w:cs="Verdana"/>
          <w:b/>
          <w:bCs/>
          <w:spacing w:val="1"/>
          <w:sz w:val="24"/>
          <w:szCs w:val="24"/>
          <w:lang w:val="es-ES" w:eastAsia="es-ES"/>
        </w:rPr>
        <w:t>T</w:t>
      </w:r>
      <w:r w:rsidR="00E856E7">
        <w:rPr>
          <w:rFonts w:ascii="Verdana" w:hAnsi="Verdana" w:cs="Verdana"/>
          <w:b/>
          <w:bCs/>
          <w:spacing w:val="1"/>
          <w:sz w:val="24"/>
          <w:szCs w:val="24"/>
          <w:lang w:val="es-ES" w:eastAsia="es-ES"/>
        </w:rPr>
        <w:t>.L.</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otorgada sobre las rutas 503-A y 570.</w:t>
      </w:r>
    </w:p>
    <w:p w:rsidR="0034601D" w:rsidRDefault="00FA5927">
      <w:pPr>
        <w:kinsoku w:val="0"/>
        <w:overflowPunct w:val="0"/>
        <w:autoSpaceDE/>
        <w:autoSpaceDN/>
        <w:adjustRightInd/>
        <w:spacing w:before="276" w:line="296"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empresa recurrente presenta recurso de Apelación en subsidio y nulidad contra el acuerdo impugnado indicando que cuenta con Legitimación de conformidad con los numerales 292.1 y 162 y 174 de la Ley General de la Administración Pública que hacen que la Legitimación se amplíe más allá del simple interés directo pues ellos presentaron solicitud para que se procediera a dar apertura a un procedimiento Administrativo sancionatorio contra la empresa T</w:t>
      </w:r>
      <w:r w:rsidR="00E856E7">
        <w:rPr>
          <w:rFonts w:ascii="Verdana" w:hAnsi="Verdana" w:cs="Verdana"/>
          <w:sz w:val="24"/>
          <w:szCs w:val="24"/>
          <w:lang w:val="es-ES" w:eastAsia="es-ES"/>
        </w:rPr>
        <w:t>.</w:t>
      </w:r>
      <w:r>
        <w:rPr>
          <w:rFonts w:ascii="Verdana" w:hAnsi="Verdana" w:cs="Verdana"/>
          <w:sz w:val="24"/>
          <w:szCs w:val="24"/>
          <w:lang w:val="es-ES" w:eastAsia="es-ES"/>
        </w:rPr>
        <w:t>, acto que se dio el 14 de marzo de 2014 y que reiteraron el 21 de abril de 2014. Lo</w:t>
      </w:r>
    </w:p>
    <w:p w:rsidR="0034601D" w:rsidRDefault="0034601D">
      <w:pPr>
        <w:widowControl/>
        <w:rPr>
          <w:sz w:val="24"/>
          <w:szCs w:val="24"/>
        </w:rPr>
        <w:sectPr w:rsidR="0034601D">
          <w:pgSz w:w="12134" w:h="15840"/>
          <w:pgMar w:top="900" w:right="1496" w:bottom="230" w:left="1578" w:header="720" w:footer="720" w:gutter="0"/>
          <w:cols w:space="720"/>
          <w:noEndnote/>
        </w:sectPr>
      </w:pPr>
    </w:p>
    <w:p w:rsidR="0034601D" w:rsidRDefault="00FA5927">
      <w:pPr>
        <w:kinsoku w:val="0"/>
        <w:overflowPunct w:val="0"/>
        <w:autoSpaceDE/>
        <w:autoSpaceDN/>
        <w:adjustRightInd/>
        <w:spacing w:before="20" w:line="297"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denunciado tiene que ver con graves incumplimientos de la empresa denunciada con la Caja Costarricense del Seguro Social, lo cual tiene incidencia directa en la renovación de concesiones y ellos solicitaron en el escrito presentado al CTP, que se abstuviera de tomar ningún acuerdo que otorgara derechos a la empresa T</w:t>
      </w:r>
      <w:r w:rsidR="00E856E7">
        <w:rPr>
          <w:rFonts w:ascii="Tahoma" w:hAnsi="Tahoma" w:cs="Tahoma"/>
          <w:spacing w:val="11"/>
          <w:sz w:val="25"/>
          <w:szCs w:val="25"/>
          <w:lang w:val="es-ES" w:eastAsia="es-ES"/>
        </w:rPr>
        <w:t>.L.</w:t>
      </w:r>
    </w:p>
    <w:p w:rsidR="0034601D" w:rsidRDefault="00FA5927" w:rsidP="00E856E7">
      <w:pPr>
        <w:kinsoku w:val="0"/>
        <w:overflowPunct w:val="0"/>
        <w:autoSpaceDE/>
        <w:autoSpaceDN/>
        <w:adjustRightInd/>
        <w:spacing w:before="288" w:line="297" w:lineRule="exact"/>
        <w:ind w:left="72" w:right="72"/>
        <w:jc w:val="both"/>
        <w:textAlignment w:val="baseline"/>
        <w:rPr>
          <w:rFonts w:ascii="Tahoma" w:hAnsi="Tahoma" w:cs="Tahoma"/>
          <w:spacing w:val="1"/>
          <w:sz w:val="25"/>
          <w:szCs w:val="25"/>
          <w:lang w:val="es-ES" w:eastAsia="es-ES"/>
        </w:rPr>
      </w:pPr>
      <w:r>
        <w:rPr>
          <w:rFonts w:ascii="Tahoma" w:hAnsi="Tahoma" w:cs="Tahoma"/>
          <w:spacing w:val="11"/>
          <w:sz w:val="25"/>
          <w:szCs w:val="25"/>
          <w:lang w:val="es-ES" w:eastAsia="es-ES"/>
        </w:rPr>
        <w:t>Además de lo anterior la recurrente indica que tiene interés en que se le integren los servicios correspondientes a las rutas 503-A y 570 operados por T</w:t>
      </w:r>
      <w:r w:rsidR="00E856E7">
        <w:rPr>
          <w:rFonts w:ascii="Tahoma" w:hAnsi="Tahoma" w:cs="Tahoma"/>
          <w:spacing w:val="11"/>
          <w:sz w:val="25"/>
          <w:szCs w:val="25"/>
          <w:lang w:val="es-ES" w:eastAsia="es-ES"/>
        </w:rPr>
        <w:t>.</w:t>
      </w:r>
      <w:r>
        <w:rPr>
          <w:rFonts w:ascii="Tahoma" w:hAnsi="Tahoma" w:cs="Tahoma"/>
          <w:spacing w:val="11"/>
          <w:sz w:val="25"/>
          <w:szCs w:val="25"/>
          <w:lang w:val="es-ES" w:eastAsia="es-ES"/>
        </w:rPr>
        <w:t>, dentro de la concesión que ostentan en la ruta 1507 y en la ruta 503 y si no se acepta esto mantiene interés en participar en el procedimiento licitatorio que se realice sobre esas rutas, por lo que han presentado sendos escritos de oposición a la renovación de la concesión</w:t>
      </w:r>
      <w:r w:rsidR="00E856E7">
        <w:rPr>
          <w:rFonts w:ascii="Tahoma" w:hAnsi="Tahoma" w:cs="Tahoma"/>
          <w:spacing w:val="11"/>
          <w:sz w:val="25"/>
          <w:szCs w:val="25"/>
          <w:lang w:val="es-ES" w:eastAsia="es-ES"/>
        </w:rPr>
        <w:t xml:space="preserve"> </w:t>
      </w:r>
      <w:r>
        <w:rPr>
          <w:rFonts w:ascii="Tahoma" w:hAnsi="Tahoma" w:cs="Tahoma"/>
          <w:spacing w:val="1"/>
          <w:sz w:val="25"/>
          <w:szCs w:val="25"/>
          <w:lang w:val="es-ES" w:eastAsia="es-ES"/>
        </w:rPr>
        <w:t>de</w:t>
      </w:r>
      <w:r w:rsidR="00E856E7">
        <w:rPr>
          <w:rFonts w:ascii="Tahoma" w:hAnsi="Tahoma" w:cs="Tahoma"/>
          <w:spacing w:val="1"/>
          <w:sz w:val="25"/>
          <w:szCs w:val="25"/>
          <w:lang w:val="es-ES" w:eastAsia="es-ES"/>
        </w:rPr>
        <w:t xml:space="preserve"> </w:t>
      </w:r>
      <w:r>
        <w:rPr>
          <w:rFonts w:ascii="Tahoma" w:hAnsi="Tahoma" w:cs="Tahoma"/>
          <w:spacing w:val="1"/>
          <w:sz w:val="25"/>
          <w:szCs w:val="25"/>
          <w:lang w:val="es-ES" w:eastAsia="es-ES"/>
        </w:rPr>
        <w:t>T</w:t>
      </w:r>
      <w:r w:rsidR="00E856E7">
        <w:rPr>
          <w:rFonts w:ascii="Tahoma" w:hAnsi="Tahoma" w:cs="Tahoma"/>
          <w:spacing w:val="1"/>
          <w:sz w:val="25"/>
          <w:szCs w:val="25"/>
          <w:lang w:val="es-ES" w:eastAsia="es-ES"/>
        </w:rPr>
        <w:t>.</w:t>
      </w:r>
      <w:r>
        <w:rPr>
          <w:rFonts w:ascii="Tahoma" w:hAnsi="Tahoma" w:cs="Tahoma"/>
          <w:spacing w:val="1"/>
          <w:sz w:val="25"/>
          <w:szCs w:val="25"/>
          <w:lang w:val="es-ES" w:eastAsia="es-ES"/>
        </w:rPr>
        <w:t>, lo que los legitima para accionar. La Administración no</w:t>
      </w:r>
      <w:r>
        <w:rPr>
          <w:rFonts w:ascii="Tahoma" w:hAnsi="Tahoma" w:cs="Tahoma"/>
          <w:spacing w:val="1"/>
          <w:sz w:val="25"/>
          <w:szCs w:val="25"/>
          <w:lang w:val="es-ES" w:eastAsia="es-ES"/>
        </w:rPr>
        <w:br/>
        <w:t>ha cumplido con sus deberes de fiscalización y verificación de requisitos en la renovación de la concesión en las rutas 503-A y 570 ni se atendió a los criterios Legales en tal sentido.</w:t>
      </w:r>
    </w:p>
    <w:p w:rsidR="0034601D" w:rsidRDefault="00FA5927">
      <w:pPr>
        <w:kinsoku w:val="0"/>
        <w:overflowPunct w:val="0"/>
        <w:autoSpaceDE/>
        <w:autoSpaceDN/>
        <w:adjustRightInd/>
        <w:spacing w:before="305" w:line="297"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Amén de lo indicado por la </w:t>
      </w:r>
      <w:r>
        <w:rPr>
          <w:rFonts w:ascii="Tahoma" w:hAnsi="Tahoma" w:cs="Tahoma"/>
          <w:b/>
          <w:bCs/>
          <w:spacing w:val="11"/>
          <w:sz w:val="25"/>
          <w:szCs w:val="25"/>
          <w:lang w:val="es-ES" w:eastAsia="es-ES"/>
        </w:rPr>
        <w:t>E</w:t>
      </w:r>
      <w:r w:rsidR="00E856E7">
        <w:rPr>
          <w:rFonts w:ascii="Tahoma" w:hAnsi="Tahoma" w:cs="Tahoma"/>
          <w:b/>
          <w:bCs/>
          <w:spacing w:val="11"/>
          <w:sz w:val="25"/>
          <w:szCs w:val="25"/>
          <w:lang w:val="es-ES" w:eastAsia="es-ES"/>
        </w:rPr>
        <w:t>.A.L.</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 xml:space="preserve">en el sentido de que presentó una denuncia contra la </w:t>
      </w:r>
      <w:r>
        <w:rPr>
          <w:rFonts w:ascii="Tahoma" w:hAnsi="Tahoma" w:cs="Tahoma"/>
          <w:b/>
          <w:bCs/>
          <w:spacing w:val="11"/>
          <w:sz w:val="25"/>
          <w:szCs w:val="25"/>
          <w:lang w:val="es-ES" w:eastAsia="es-ES"/>
        </w:rPr>
        <w:t>E</w:t>
      </w:r>
      <w:r w:rsidR="00E856E7">
        <w:rPr>
          <w:rFonts w:ascii="Tahoma" w:hAnsi="Tahoma" w:cs="Tahoma"/>
          <w:b/>
          <w:bCs/>
          <w:spacing w:val="11"/>
          <w:sz w:val="25"/>
          <w:szCs w:val="25"/>
          <w:lang w:val="es-ES" w:eastAsia="es-ES"/>
        </w:rPr>
        <w:t>.T.L.</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 xml:space="preserve">y que además tiene interés en participar en una eventual licitación de las rutas adjudicadas y por ello cuenta con Legitimación, queda claro para este Tribunal que el acuerdo impugnado, no afecta ningún derecho o interés legítimo de la Recurrente respecto de rutas que no tiene en concesión </w:t>
      </w:r>
      <w:r>
        <w:rPr>
          <w:rFonts w:ascii="Tahoma" w:hAnsi="Tahoma" w:cs="Tahoma"/>
          <w:b/>
          <w:bCs/>
          <w:spacing w:val="11"/>
          <w:sz w:val="25"/>
          <w:szCs w:val="25"/>
          <w:lang w:val="es-ES" w:eastAsia="es-ES"/>
        </w:rPr>
        <w:t>L</w:t>
      </w:r>
      <w:r w:rsidR="00E856E7">
        <w:rPr>
          <w:rFonts w:ascii="Tahoma" w:hAnsi="Tahoma" w:cs="Tahoma"/>
          <w:b/>
          <w:bCs/>
          <w:spacing w:val="11"/>
          <w:sz w:val="25"/>
          <w:szCs w:val="25"/>
          <w:lang w:val="es-ES" w:eastAsia="es-ES"/>
        </w:rPr>
        <w:t>.E.A.</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 xml:space="preserve">por lo que ésta carece de legitimación para impugnar. Si considera que no han sido atendidas sus denuncias debe accionar en otra vía, pero no puede pretender contar con Legitimación para recurrir un acto que no lo atañe pues el que tenga interés en las rutas dadas en concesión a </w:t>
      </w:r>
      <w:r>
        <w:rPr>
          <w:rFonts w:ascii="Tahoma" w:hAnsi="Tahoma" w:cs="Tahoma"/>
          <w:b/>
          <w:bCs/>
          <w:spacing w:val="11"/>
          <w:sz w:val="25"/>
          <w:szCs w:val="25"/>
          <w:lang w:val="es-ES" w:eastAsia="es-ES"/>
        </w:rPr>
        <w:t>T</w:t>
      </w:r>
      <w:r w:rsidR="00E856E7">
        <w:rPr>
          <w:rFonts w:ascii="Tahoma" w:hAnsi="Tahoma" w:cs="Tahoma"/>
          <w:b/>
          <w:bCs/>
          <w:spacing w:val="11"/>
          <w:sz w:val="25"/>
          <w:szCs w:val="25"/>
          <w:lang w:val="es-ES" w:eastAsia="es-ES"/>
        </w:rPr>
        <w:t>.</w:t>
      </w:r>
      <w:r>
        <w:rPr>
          <w:rFonts w:ascii="Tahoma" w:hAnsi="Tahoma" w:cs="Tahoma"/>
          <w:b/>
          <w:bCs/>
          <w:spacing w:val="11"/>
          <w:sz w:val="25"/>
          <w:szCs w:val="25"/>
          <w:lang w:val="es-ES" w:eastAsia="es-ES"/>
        </w:rPr>
        <w:t xml:space="preserve">, </w:t>
      </w:r>
      <w:r>
        <w:rPr>
          <w:rFonts w:ascii="Tahoma" w:hAnsi="Tahoma" w:cs="Tahoma"/>
          <w:spacing w:val="11"/>
          <w:sz w:val="25"/>
          <w:szCs w:val="25"/>
          <w:lang w:val="es-ES" w:eastAsia="es-ES"/>
        </w:rPr>
        <w:t>no es motivo suficiente para que considere la recurrente como lo indica, que cuenta con Legitimación para recurrir el acuerdo de marras.</w:t>
      </w:r>
    </w:p>
    <w:p w:rsidR="0034601D" w:rsidRDefault="00FA5927">
      <w:pPr>
        <w:kinsoku w:val="0"/>
        <w:overflowPunct w:val="0"/>
        <w:autoSpaceDE/>
        <w:autoSpaceDN/>
        <w:adjustRightInd/>
        <w:spacing w:before="275" w:line="297" w:lineRule="exact"/>
        <w:ind w:left="72" w:right="72"/>
        <w:jc w:val="both"/>
        <w:textAlignment w:val="baseline"/>
        <w:rPr>
          <w:rFonts w:ascii="Tahoma" w:hAnsi="Tahoma" w:cs="Tahoma"/>
          <w:spacing w:val="12"/>
          <w:sz w:val="25"/>
          <w:szCs w:val="25"/>
          <w:lang w:val="es-ES" w:eastAsia="es-ES"/>
        </w:rPr>
      </w:pPr>
      <w:r>
        <w:rPr>
          <w:rFonts w:ascii="Tahoma" w:hAnsi="Tahoma" w:cs="Tahoma"/>
          <w:spacing w:val="12"/>
          <w:sz w:val="25"/>
          <w:szCs w:val="25"/>
          <w:lang w:val="es-ES" w:eastAsia="es-ES"/>
        </w:rPr>
        <w:t>Es requisito indispensable, para poder accionar en cualquier procedimiento jurídico y a esto no escapa la interposición de las acciones recursivas, contar con la debida Legitimación para ello.</w:t>
      </w:r>
    </w:p>
    <w:p w:rsidR="0034601D" w:rsidRDefault="00FA5927">
      <w:pPr>
        <w:kinsoku w:val="0"/>
        <w:overflowPunct w:val="0"/>
        <w:autoSpaceDE/>
        <w:autoSpaceDN/>
        <w:adjustRightInd/>
        <w:spacing w:before="314" w:line="297"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La legitimación para accionar jurídicamente, alude a la aptitud de un sujeto para ser considerado parte en un proceso concreto.</w:t>
      </w:r>
    </w:p>
    <w:p w:rsidR="0034601D" w:rsidRDefault="00FA5927">
      <w:pPr>
        <w:kinsoku w:val="0"/>
        <w:overflowPunct w:val="0"/>
        <w:autoSpaceDE/>
        <w:autoSpaceDN/>
        <w:adjustRightInd/>
        <w:spacing w:before="279" w:line="297"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El artículo 275 de la Ley General de la Administración Pública, en cuanto a la Legitimación indica:</w:t>
      </w:r>
    </w:p>
    <w:p w:rsidR="0034601D" w:rsidRDefault="00FA5927">
      <w:pPr>
        <w:kinsoku w:val="0"/>
        <w:overflowPunct w:val="0"/>
        <w:autoSpaceDE/>
        <w:autoSpaceDN/>
        <w:adjustRightInd/>
        <w:spacing w:before="289" w:line="295" w:lineRule="exact"/>
        <w:ind w:left="432" w:right="432"/>
        <w:jc w:val="both"/>
        <w:textAlignment w:val="baseline"/>
        <w:rPr>
          <w:rFonts w:ascii="Tahoma" w:hAnsi="Tahoma" w:cs="Tahoma"/>
          <w:i/>
          <w:iCs/>
          <w:spacing w:val="12"/>
          <w:sz w:val="25"/>
          <w:szCs w:val="25"/>
          <w:lang w:val="es-ES" w:eastAsia="es-ES"/>
        </w:rPr>
      </w:pPr>
      <w:r>
        <w:rPr>
          <w:rFonts w:ascii="Tahoma" w:hAnsi="Tahoma" w:cs="Tahoma"/>
          <w:i/>
          <w:iCs/>
          <w:spacing w:val="12"/>
          <w:sz w:val="25"/>
          <w:szCs w:val="25"/>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34601D" w:rsidRDefault="0034601D">
      <w:pPr>
        <w:widowControl/>
        <w:rPr>
          <w:sz w:val="24"/>
          <w:szCs w:val="24"/>
        </w:rPr>
        <w:sectPr w:rsidR="0034601D">
          <w:pgSz w:w="12134" w:h="15840"/>
          <w:pgMar w:top="900" w:right="1458" w:bottom="220" w:left="1616" w:header="720" w:footer="720" w:gutter="0"/>
          <w:cols w:space="720"/>
          <w:noEndnote/>
        </w:sectPr>
      </w:pPr>
    </w:p>
    <w:p w:rsidR="0034601D" w:rsidRDefault="00FA5927">
      <w:pPr>
        <w:kinsoku w:val="0"/>
        <w:overflowPunct w:val="0"/>
        <w:autoSpaceDE/>
        <w:autoSpaceDN/>
        <w:adjustRightInd/>
        <w:spacing w:before="10" w:line="291" w:lineRule="exact"/>
        <w:ind w:left="72" w:right="72"/>
        <w:jc w:val="both"/>
        <w:textAlignment w:val="baseline"/>
        <w:rPr>
          <w:rFonts w:ascii="Verdana" w:hAnsi="Verdana" w:cs="Verdana"/>
          <w:spacing w:val="6"/>
          <w:sz w:val="23"/>
          <w:szCs w:val="23"/>
          <w:lang w:val="es-ES" w:eastAsia="es-ES"/>
        </w:rPr>
      </w:pPr>
      <w:r>
        <w:rPr>
          <w:rFonts w:ascii="Verdana" w:hAnsi="Verdana" w:cs="Verdana"/>
          <w:spacing w:val="6"/>
          <w:sz w:val="23"/>
          <w:szCs w:val="23"/>
          <w:lang w:val="es-ES" w:eastAsia="es-ES"/>
        </w:rPr>
        <w:lastRenderedPageBreak/>
        <w:t>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w:t>
      </w:r>
    </w:p>
    <w:p w:rsidR="0034601D" w:rsidRDefault="00FA5927">
      <w:pPr>
        <w:tabs>
          <w:tab w:val="right" w:pos="8928"/>
        </w:tabs>
        <w:kinsoku w:val="0"/>
        <w:overflowPunct w:val="0"/>
        <w:autoSpaceDE/>
        <w:autoSpaceDN/>
        <w:adjustRightInd/>
        <w:spacing w:line="292"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que pretende.</w:t>
      </w:r>
      <w:r w:rsidR="00E856E7">
        <w:rPr>
          <w:rFonts w:ascii="Verdana" w:hAnsi="Verdana" w:cs="Verdana"/>
          <w:sz w:val="23"/>
          <w:szCs w:val="23"/>
          <w:lang w:val="es-ES" w:eastAsia="es-ES"/>
        </w:rPr>
        <w:t xml:space="preserve"> </w:t>
      </w:r>
      <w:r>
        <w:rPr>
          <w:rFonts w:ascii="Verdana" w:hAnsi="Verdana" w:cs="Verdana"/>
          <w:sz w:val="23"/>
          <w:szCs w:val="23"/>
          <w:lang w:val="es-ES" w:eastAsia="es-ES"/>
        </w:rPr>
        <w:t>Es improcedente el argumento de la recurrente, en el</w:t>
      </w:r>
      <w:r>
        <w:rPr>
          <w:rFonts w:ascii="Verdana" w:hAnsi="Verdana" w:cs="Verdana"/>
          <w:sz w:val="23"/>
          <w:szCs w:val="23"/>
          <w:lang w:val="es-ES" w:eastAsia="es-ES"/>
        </w:rPr>
        <w:br/>
        <w:t xml:space="preserve">sentido de que tiene interés de que se saque a licitación las rutas otorgadas a </w:t>
      </w:r>
      <w:r>
        <w:rPr>
          <w:rFonts w:ascii="Verdana" w:hAnsi="Verdana" w:cs="Verdana"/>
          <w:b/>
          <w:bCs/>
          <w:sz w:val="23"/>
          <w:szCs w:val="23"/>
          <w:lang w:val="es-ES" w:eastAsia="es-ES"/>
        </w:rPr>
        <w:t>T</w:t>
      </w:r>
      <w:r w:rsidR="00E856E7">
        <w:rPr>
          <w:rFonts w:ascii="Verdana" w:hAnsi="Verdana" w:cs="Verdana"/>
          <w:b/>
          <w:bCs/>
          <w:sz w:val="23"/>
          <w:szCs w:val="23"/>
          <w:lang w:val="es-ES" w:eastAsia="es-ES"/>
        </w:rPr>
        <w:t>.</w:t>
      </w:r>
      <w:r>
        <w:rPr>
          <w:rFonts w:ascii="Verdana" w:hAnsi="Verdana" w:cs="Verdana"/>
          <w:b/>
          <w:bCs/>
          <w:sz w:val="23"/>
          <w:szCs w:val="23"/>
          <w:lang w:val="es-ES" w:eastAsia="es-ES"/>
        </w:rPr>
        <w:t xml:space="preserve">, </w:t>
      </w:r>
      <w:r>
        <w:rPr>
          <w:rFonts w:ascii="Verdana" w:hAnsi="Verdana" w:cs="Verdana"/>
          <w:sz w:val="23"/>
          <w:szCs w:val="23"/>
          <w:lang w:val="es-ES" w:eastAsia="es-ES"/>
        </w:rPr>
        <w:t xml:space="preserve">para concursar ella, la </w:t>
      </w:r>
      <w:r>
        <w:rPr>
          <w:rFonts w:ascii="Verdana" w:hAnsi="Verdana" w:cs="Verdana"/>
          <w:b/>
          <w:bCs/>
          <w:sz w:val="23"/>
          <w:szCs w:val="23"/>
          <w:lang w:val="es-ES" w:eastAsia="es-ES"/>
        </w:rPr>
        <w:t>E</w:t>
      </w:r>
      <w:r w:rsidR="00E856E7">
        <w:rPr>
          <w:rFonts w:ascii="Verdana" w:hAnsi="Verdana" w:cs="Verdana"/>
          <w:b/>
          <w:bCs/>
          <w:sz w:val="23"/>
          <w:szCs w:val="23"/>
          <w:lang w:val="es-ES" w:eastAsia="es-ES"/>
        </w:rPr>
        <w:t>.A.</w:t>
      </w:r>
      <w:r>
        <w:rPr>
          <w:rFonts w:ascii="Verdana" w:hAnsi="Verdana" w:cs="Verdana"/>
          <w:b/>
          <w:bCs/>
          <w:sz w:val="23"/>
          <w:szCs w:val="23"/>
          <w:lang w:val="es-ES" w:eastAsia="es-ES"/>
        </w:rPr>
        <w:t xml:space="preserve">, en la licitación pública que según ésta debe hacerse, </w:t>
      </w:r>
      <w:r>
        <w:rPr>
          <w:rFonts w:ascii="Verdana" w:hAnsi="Verdana" w:cs="Verdana"/>
          <w:sz w:val="23"/>
          <w:szCs w:val="23"/>
          <w:lang w:val="es-ES" w:eastAsia="es-ES"/>
        </w:rPr>
        <w:t>tal intensión no le otorga legitimación a la recurrente.</w:t>
      </w:r>
    </w:p>
    <w:p w:rsidR="0034601D" w:rsidRDefault="00FA5927">
      <w:pPr>
        <w:kinsoku w:val="0"/>
        <w:overflowPunct w:val="0"/>
        <w:autoSpaceDE/>
        <w:autoSpaceDN/>
        <w:adjustRightInd/>
        <w:spacing w:before="246" w:line="337"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Sala Primera de la Corte Suprema de Justicia en su sentencia número 00822 de fecha 04 de julio de 2013 de las 09:20:00 horas indicó respecto de la Legitimación lo siguiente:</w:t>
      </w:r>
    </w:p>
    <w:p w:rsidR="0034601D" w:rsidRDefault="00FA5927">
      <w:pPr>
        <w:kinsoku w:val="0"/>
        <w:overflowPunct w:val="0"/>
        <w:autoSpaceDE/>
        <w:autoSpaceDN/>
        <w:adjustRightInd/>
        <w:spacing w:before="324" w:line="294" w:lineRule="exact"/>
        <w:ind w:left="504" w:right="504"/>
        <w:jc w:val="both"/>
        <w:textAlignment w:val="baseline"/>
        <w:rPr>
          <w:rFonts w:ascii="Verdana" w:hAnsi="Verdana" w:cs="Verdana"/>
          <w:i/>
          <w:iCs/>
          <w:spacing w:val="5"/>
          <w:sz w:val="23"/>
          <w:szCs w:val="23"/>
          <w:lang w:val="es-ES" w:eastAsia="es-ES"/>
        </w:rPr>
      </w:pPr>
      <w:r>
        <w:rPr>
          <w:rFonts w:ascii="Verdana" w:hAnsi="Verdana" w:cs="Verdana"/>
          <w:i/>
          <w:iCs/>
          <w:spacing w:val="5"/>
          <w:sz w:val="23"/>
          <w:szCs w:val="23"/>
          <w:lang w:val="es-ES" w:eastAsia="es-ES"/>
        </w:rPr>
        <w:t xml:space="preserve">"La </w:t>
      </w:r>
      <w:r>
        <w:rPr>
          <w:rFonts w:ascii="Verdana" w:hAnsi="Verdana" w:cs="Verdana"/>
          <w:b/>
          <w:bCs/>
          <w:i/>
          <w:iCs/>
          <w:spacing w:val="5"/>
          <w:sz w:val="23"/>
          <w:szCs w:val="23"/>
          <w:lang w:val="es-ES" w:eastAsia="es-ES"/>
        </w:rPr>
        <w:t xml:space="preserve">legitimación </w:t>
      </w:r>
      <w:r>
        <w:rPr>
          <w:rFonts w:ascii="Verdana" w:hAnsi="Verdana" w:cs="Verdana"/>
          <w:i/>
          <w:iCs/>
          <w:spacing w:val="5"/>
          <w:sz w:val="23"/>
          <w:szCs w:val="23"/>
          <w:lang w:val="es-ES" w:eastAsia="es-ES"/>
        </w:rPr>
        <w:t xml:space="preserve">constituye un presupuesto de la pretensión formulada en la demanda y de la oposición hecha por el demandado, para hacer posible la sentencia de fondo que las resuelve; consecuentemente la </w:t>
      </w:r>
      <w:r>
        <w:rPr>
          <w:rFonts w:ascii="Verdana" w:hAnsi="Verdana" w:cs="Verdana"/>
          <w:b/>
          <w:bCs/>
          <w:i/>
          <w:iCs/>
          <w:spacing w:val="5"/>
          <w:sz w:val="23"/>
          <w:szCs w:val="23"/>
          <w:lang w:val="es-ES" w:eastAsia="es-ES"/>
        </w:rPr>
        <w:t xml:space="preserve">legitimación </w:t>
      </w:r>
      <w:r>
        <w:rPr>
          <w:rFonts w:ascii="Verdana" w:hAnsi="Verdana" w:cs="Verdana"/>
          <w:i/>
          <w:iCs/>
          <w:spacing w:val="5"/>
          <w:sz w:val="23"/>
          <w:szCs w:val="23"/>
          <w:lang w:val="es-ES" w:eastAsia="es-ES"/>
        </w:rPr>
        <w:t xml:space="preserve">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Pr>
          <w:rFonts w:ascii="Verdana" w:hAnsi="Verdana" w:cs="Verdana"/>
          <w:b/>
          <w:bCs/>
          <w:i/>
          <w:iCs/>
          <w:spacing w:val="5"/>
          <w:sz w:val="23"/>
          <w:szCs w:val="23"/>
          <w:lang w:val="es-ES" w:eastAsia="es-ES"/>
        </w:rPr>
        <w:t xml:space="preserve">legitimación </w:t>
      </w:r>
      <w:r>
        <w:rPr>
          <w:rFonts w:ascii="Verdana" w:hAnsi="Verdana" w:cs="Verdana"/>
          <w:i/>
          <w:iCs/>
          <w:spacing w:val="5"/>
          <w:sz w:val="23"/>
          <w:szCs w:val="23"/>
          <w:lang w:val="es-ES" w:eastAsia="es-ES"/>
        </w:rPr>
        <w:t xml:space="preserve">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Pr>
          <w:rFonts w:ascii="Verdana" w:hAnsi="Verdana" w:cs="Verdana"/>
          <w:b/>
          <w:bCs/>
          <w:i/>
          <w:iCs/>
          <w:spacing w:val="5"/>
          <w:sz w:val="23"/>
          <w:szCs w:val="23"/>
          <w:lang w:val="es-ES" w:eastAsia="es-ES"/>
        </w:rPr>
        <w:t xml:space="preserve">legitimación </w:t>
      </w:r>
      <w:r>
        <w:rPr>
          <w:rFonts w:ascii="Verdana" w:hAnsi="Verdana" w:cs="Verdana"/>
          <w:i/>
          <w:iCs/>
          <w:spacing w:val="5"/>
          <w:sz w:val="23"/>
          <w:szCs w:val="23"/>
          <w:lang w:val="es-ES" w:eastAsia="es-ES"/>
        </w:rPr>
        <w:t xml:space="preserve">para obtener sentencia de fondo o mérito. De acuerdo al sujeto legitimado o a su posición en la relación procesal se puede distinguir entre </w:t>
      </w:r>
      <w:r>
        <w:rPr>
          <w:rFonts w:ascii="Verdana" w:hAnsi="Verdana" w:cs="Verdana"/>
          <w:b/>
          <w:bCs/>
          <w:i/>
          <w:iCs/>
          <w:spacing w:val="5"/>
          <w:sz w:val="23"/>
          <w:szCs w:val="23"/>
          <w:lang w:val="es-ES" w:eastAsia="es-ES"/>
        </w:rPr>
        <w:t xml:space="preserve">legitimación </w:t>
      </w:r>
      <w:r>
        <w:rPr>
          <w:rFonts w:ascii="Verdana" w:hAnsi="Verdana" w:cs="Verdana"/>
          <w:i/>
          <w:iCs/>
          <w:spacing w:val="5"/>
          <w:sz w:val="23"/>
          <w:szCs w:val="23"/>
          <w:lang w:val="es-ES" w:eastAsia="es-ES"/>
        </w:rPr>
        <w:t xml:space="preserve">activa y pasiva, la primera le corresponde al actor y a las personas que con posterioridad intervengan para defender su causa, la segunda le pertenece al demandado y a quienes intervengan para discutir y oponerse a la pretensión del actor. La ausencia de </w:t>
      </w:r>
      <w:r>
        <w:rPr>
          <w:rFonts w:ascii="Verdana" w:hAnsi="Verdana" w:cs="Verdana"/>
          <w:b/>
          <w:bCs/>
          <w:i/>
          <w:iCs/>
          <w:spacing w:val="5"/>
          <w:sz w:val="23"/>
          <w:szCs w:val="23"/>
          <w:lang w:val="es-ES" w:eastAsia="es-ES"/>
        </w:rPr>
        <w:t xml:space="preserve">legitimación </w:t>
      </w:r>
      <w:r>
        <w:rPr>
          <w:rFonts w:ascii="Verdana" w:hAnsi="Verdana" w:cs="Verdana"/>
          <w:i/>
          <w:iCs/>
          <w:spacing w:val="5"/>
          <w:sz w:val="23"/>
          <w:szCs w:val="23"/>
          <w:lang w:val="es-ES" w:eastAsia="es-ES"/>
        </w:rPr>
        <w:t>en la causa constituye un impedimento sustancial, si el juzgador se percata de la falta de la misma, así debe declararlo de oficio y dictar una sentencia inhibitoria, lo que no es óbice para que sea alegada oportunamente como excepción</w:t>
      </w:r>
    </w:p>
    <w:p w:rsidR="0034601D" w:rsidRDefault="0034601D">
      <w:pPr>
        <w:widowControl/>
        <w:rPr>
          <w:sz w:val="24"/>
          <w:szCs w:val="24"/>
        </w:rPr>
        <w:sectPr w:rsidR="0034601D">
          <w:pgSz w:w="12134" w:h="15840"/>
          <w:pgMar w:top="1400" w:right="1474" w:bottom="324" w:left="1600" w:header="720" w:footer="720" w:gutter="0"/>
          <w:cols w:space="720"/>
          <w:noEndnote/>
        </w:sectPr>
      </w:pPr>
    </w:p>
    <w:p w:rsidR="0034601D" w:rsidRDefault="00FA5927">
      <w:pPr>
        <w:kinsoku w:val="0"/>
        <w:overflowPunct w:val="0"/>
        <w:autoSpaceDE/>
        <w:autoSpaceDN/>
        <w:adjustRightInd/>
        <w:spacing w:before="64" w:line="294" w:lineRule="exact"/>
        <w:ind w:left="432" w:right="504"/>
        <w:jc w:val="both"/>
        <w:textAlignment w:val="baseline"/>
        <w:rPr>
          <w:rFonts w:ascii="Verdana" w:hAnsi="Verdana" w:cs="Verdana"/>
          <w:i/>
          <w:iCs/>
          <w:spacing w:val="6"/>
          <w:sz w:val="23"/>
          <w:szCs w:val="23"/>
          <w:lang w:val="es-ES" w:eastAsia="es-ES"/>
        </w:rPr>
      </w:pPr>
      <w:r>
        <w:rPr>
          <w:rFonts w:ascii="Verdana" w:hAnsi="Verdana" w:cs="Verdana"/>
          <w:i/>
          <w:iCs/>
          <w:spacing w:val="6"/>
          <w:sz w:val="23"/>
          <w:szCs w:val="23"/>
          <w:lang w:val="es-ES" w:eastAsia="es-ES"/>
        </w:rPr>
        <w:lastRenderedPageBreak/>
        <w:t xml:space="preserve">previa... ...La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en la causa demás de determinar quienes pueden actuar en el proceso con derecho a obtener sentencia de fondo, señala o determina a quiénes deben estar presentes para hacer posible la sentencia de fondo...</w:t>
      </w:r>
      <w:proofErr w:type="gramStart"/>
      <w:r>
        <w:rPr>
          <w:rFonts w:ascii="Verdana" w:hAnsi="Verdana" w:cs="Verdana"/>
          <w:i/>
          <w:iCs/>
          <w:spacing w:val="6"/>
          <w:sz w:val="23"/>
          <w:szCs w:val="23"/>
          <w:lang w:val="es-ES" w:eastAsia="es-ES"/>
        </w:rPr>
        <w:t>" .</w:t>
      </w:r>
      <w:proofErr w:type="gramEnd"/>
      <w:r>
        <w:rPr>
          <w:rFonts w:ascii="Verdana" w:hAnsi="Verdana" w:cs="Verdana"/>
          <w:i/>
          <w:iCs/>
          <w:spacing w:val="6"/>
          <w:sz w:val="23"/>
          <w:szCs w:val="23"/>
          <w:lang w:val="es-ES" w:eastAsia="es-ES"/>
        </w:rPr>
        <w:t xml:space="preserve"> (Resolución de las 15 horas 10 minutos del 24 de septiembre de 1997, correspondiente al voto número 83). Entonces, según se ha visto, se debe entender la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 xml:space="preserve">como un presupuesto de fondo necesario para la procedencia de la pretensión material, es decir, será parte legítima quien alega tener una determinada relación jurídica con la petitoria debatida. Ahora bien, según se ha visto, el vínculo entre la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 xml:space="preserve">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 xml:space="preserve">es la aptitud para ser parte en un proceso concreto, puede ser activa o pasiva, lo cual dependerá de las condiciones que para tal efecto establezca la ley en cuanto la pretensión procesal. Así, la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 xml:space="preserve">ad </w:t>
      </w:r>
      <w:proofErr w:type="spellStart"/>
      <w:r>
        <w:rPr>
          <w:rFonts w:ascii="Verdana" w:hAnsi="Verdana" w:cs="Verdana"/>
          <w:i/>
          <w:iCs/>
          <w:spacing w:val="6"/>
          <w:sz w:val="23"/>
          <w:szCs w:val="23"/>
          <w:lang w:val="es-ES" w:eastAsia="es-ES"/>
        </w:rPr>
        <w:t>causam</w:t>
      </w:r>
      <w:proofErr w:type="spellEnd"/>
      <w:r>
        <w:rPr>
          <w:rFonts w:ascii="Verdana" w:hAnsi="Verdana" w:cs="Verdana"/>
          <w:i/>
          <w:iCs/>
          <w:spacing w:val="6"/>
          <w:sz w:val="23"/>
          <w:szCs w:val="23"/>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 xml:space="preserve">debe tener una determinada relación jurídica con la petitoria discutida, dicho lazo es el que se produce entre actor y demandado en virtud de lo que se debate en el proceso. Consecuentemente, la falta de </w:t>
      </w:r>
      <w:r>
        <w:rPr>
          <w:rFonts w:ascii="Verdana" w:hAnsi="Verdana" w:cs="Verdana"/>
          <w:b/>
          <w:bCs/>
          <w:i/>
          <w:iCs/>
          <w:spacing w:val="6"/>
          <w:sz w:val="23"/>
          <w:szCs w:val="23"/>
          <w:lang w:val="es-ES" w:eastAsia="es-ES"/>
        </w:rPr>
        <w:t xml:space="preserve">legitimación </w:t>
      </w:r>
      <w:r>
        <w:rPr>
          <w:rFonts w:ascii="Verdana" w:hAnsi="Verdana" w:cs="Verdana"/>
          <w:i/>
          <w:iCs/>
          <w:spacing w:val="6"/>
          <w:sz w:val="23"/>
          <w:szCs w:val="23"/>
          <w:lang w:val="es-ES" w:eastAsia="es-ES"/>
        </w:rPr>
        <w:t>en la causa constituye un impedimento sustancial para una sentencia estimatoria, ya que es la que determina quiénes deben actuar en el proceso."</w:t>
      </w:r>
    </w:p>
    <w:p w:rsidR="0034601D" w:rsidRDefault="00FA5927">
      <w:pPr>
        <w:kinsoku w:val="0"/>
        <w:overflowPunct w:val="0"/>
        <w:autoSpaceDE/>
        <w:autoSpaceDN/>
        <w:adjustRightInd/>
        <w:spacing w:before="274" w:line="338"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Señala el Doctor Jiménez Meza lo siguiente: "... </w:t>
      </w:r>
      <w:r>
        <w:rPr>
          <w:rFonts w:ascii="Verdana" w:hAnsi="Verdana" w:cs="Verdana"/>
          <w:i/>
          <w:iCs/>
          <w:sz w:val="23"/>
          <w:szCs w:val="23"/>
          <w:lang w:val="es-ES" w:eastAsia="es-ES"/>
        </w:rPr>
        <w:t xml:space="preserve">un sujeto queda legitimado en un procedimiento o en un determinado proceso por virtud de la afectación previa sufrida en sus intereses o derechos cualificados" </w:t>
      </w:r>
      <w:r>
        <w:rPr>
          <w:rFonts w:ascii="Verdana" w:hAnsi="Verdana" w:cs="Verdana"/>
          <w:sz w:val="23"/>
          <w:szCs w:val="23"/>
          <w:lang w:val="es-ES" w:eastAsia="es-ES"/>
        </w:rPr>
        <w:t xml:space="preserve">(Jiménez Meza, Manrique. </w:t>
      </w:r>
      <w:r>
        <w:rPr>
          <w:rFonts w:ascii="Verdana" w:hAnsi="Verdana" w:cs="Verdana"/>
          <w:sz w:val="23"/>
          <w:szCs w:val="23"/>
          <w:u w:val="single"/>
          <w:lang w:val="es-ES" w:eastAsia="es-ES"/>
        </w:rPr>
        <w:t xml:space="preserve">El nuevo proceso contencioso administrativo. </w:t>
      </w:r>
      <w:r>
        <w:rPr>
          <w:rFonts w:ascii="Verdana" w:hAnsi="Verdana" w:cs="Verdana"/>
          <w:sz w:val="23"/>
          <w:szCs w:val="23"/>
          <w:lang w:val="es-ES" w:eastAsia="es-ES"/>
        </w:rPr>
        <w:t>Obra Colectiva. Poder Judicial. Escuela Judicial. San José. Costa Rica. p.</w:t>
      </w:r>
    </w:p>
    <w:p w:rsidR="0034601D" w:rsidRDefault="00FA5927">
      <w:pPr>
        <w:kinsoku w:val="0"/>
        <w:overflowPunct w:val="0"/>
        <w:autoSpaceDE/>
        <w:autoSpaceDN/>
        <w:adjustRightInd/>
        <w:spacing w:before="74" w:line="281" w:lineRule="exact"/>
        <w:ind w:left="72" w:right="72"/>
        <w:textAlignment w:val="baseline"/>
        <w:rPr>
          <w:rFonts w:ascii="Verdana" w:hAnsi="Verdana" w:cs="Verdana"/>
          <w:spacing w:val="-4"/>
          <w:sz w:val="23"/>
          <w:szCs w:val="23"/>
          <w:lang w:val="es-ES" w:eastAsia="es-ES"/>
        </w:rPr>
      </w:pPr>
      <w:r>
        <w:rPr>
          <w:rFonts w:ascii="Verdana" w:hAnsi="Verdana" w:cs="Verdana"/>
          <w:spacing w:val="-4"/>
          <w:sz w:val="23"/>
          <w:szCs w:val="23"/>
          <w:lang w:val="es-ES" w:eastAsia="es-ES"/>
        </w:rPr>
        <w:t>79.)</w:t>
      </w:r>
    </w:p>
    <w:p w:rsidR="0034601D" w:rsidRDefault="00FA5927">
      <w:pPr>
        <w:kinsoku w:val="0"/>
        <w:overflowPunct w:val="0"/>
        <w:autoSpaceDE/>
        <w:autoSpaceDN/>
        <w:adjustRightInd/>
        <w:spacing w:before="336" w:line="336"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Así las cosas debe rechazarse el Recurso de Apelación y la Nulidad presentadas por </w:t>
      </w:r>
      <w:r>
        <w:rPr>
          <w:rFonts w:ascii="Verdana" w:hAnsi="Verdana" w:cs="Verdana"/>
          <w:b/>
          <w:bCs/>
          <w:sz w:val="23"/>
          <w:szCs w:val="23"/>
          <w:lang w:val="es-ES" w:eastAsia="es-ES"/>
        </w:rPr>
        <w:t>L</w:t>
      </w:r>
      <w:r w:rsidR="00E856E7">
        <w:rPr>
          <w:rFonts w:ascii="Verdana" w:hAnsi="Verdana" w:cs="Verdana"/>
          <w:b/>
          <w:bCs/>
          <w:sz w:val="23"/>
          <w:szCs w:val="23"/>
          <w:lang w:val="es-ES" w:eastAsia="es-ES"/>
        </w:rPr>
        <w:t>.E.A.L.</w:t>
      </w:r>
      <w:r>
        <w:rPr>
          <w:rFonts w:ascii="Verdana" w:hAnsi="Verdana" w:cs="Verdana"/>
          <w:b/>
          <w:bCs/>
          <w:sz w:val="23"/>
          <w:szCs w:val="23"/>
          <w:lang w:val="es-ES" w:eastAsia="es-ES"/>
        </w:rPr>
        <w:t xml:space="preserve">, </w:t>
      </w:r>
      <w:r>
        <w:rPr>
          <w:rFonts w:ascii="Verdana" w:hAnsi="Verdana" w:cs="Verdana"/>
          <w:sz w:val="23"/>
          <w:szCs w:val="23"/>
          <w:lang w:val="es-ES" w:eastAsia="es-ES"/>
        </w:rPr>
        <w:t>ya que no cuenta con legitimación para impugnar el actor recurrido.</w:t>
      </w:r>
    </w:p>
    <w:p w:rsidR="0034601D" w:rsidRDefault="0034601D">
      <w:pPr>
        <w:kinsoku w:val="0"/>
        <w:overflowPunct w:val="0"/>
        <w:autoSpaceDE/>
        <w:autoSpaceDN/>
        <w:adjustRightInd/>
        <w:spacing w:before="698" w:line="204" w:lineRule="exact"/>
        <w:ind w:left="72" w:right="72"/>
        <w:jc w:val="right"/>
        <w:textAlignment w:val="baseline"/>
        <w:rPr>
          <w:spacing w:val="21"/>
          <w:sz w:val="17"/>
          <w:szCs w:val="17"/>
          <w:lang w:val="es-ES" w:eastAsia="es-ES"/>
        </w:rPr>
      </w:pPr>
    </w:p>
    <w:p w:rsidR="0034601D" w:rsidRDefault="0034601D">
      <w:pPr>
        <w:widowControl/>
        <w:rPr>
          <w:sz w:val="24"/>
          <w:szCs w:val="24"/>
        </w:rPr>
        <w:sectPr w:rsidR="0034601D">
          <w:pgSz w:w="12134" w:h="15840"/>
          <w:pgMar w:top="760" w:right="1467" w:bottom="344" w:left="1607" w:header="720" w:footer="720" w:gutter="0"/>
          <w:cols w:space="720"/>
          <w:noEndnote/>
        </w:sectPr>
      </w:pPr>
    </w:p>
    <w:p w:rsidR="00E856E7" w:rsidRDefault="00E856E7">
      <w:pPr>
        <w:kinsoku w:val="0"/>
        <w:overflowPunct w:val="0"/>
        <w:autoSpaceDE/>
        <w:autoSpaceDN/>
        <w:adjustRightInd/>
        <w:spacing w:before="3" w:after="281" w:line="284" w:lineRule="exact"/>
        <w:jc w:val="center"/>
        <w:textAlignment w:val="baseline"/>
        <w:rPr>
          <w:rFonts w:ascii="Verdana" w:hAnsi="Verdana" w:cs="Verdana"/>
          <w:b/>
          <w:bCs/>
          <w:spacing w:val="2"/>
          <w:sz w:val="23"/>
          <w:szCs w:val="23"/>
          <w:lang w:val="es-ES" w:eastAsia="es-ES"/>
        </w:rPr>
      </w:pPr>
    </w:p>
    <w:p w:rsidR="0034601D" w:rsidRDefault="00FA5927">
      <w:pPr>
        <w:kinsoku w:val="0"/>
        <w:overflowPunct w:val="0"/>
        <w:autoSpaceDE/>
        <w:autoSpaceDN/>
        <w:adjustRightInd/>
        <w:spacing w:before="3" w:after="281" w:line="284" w:lineRule="exact"/>
        <w:jc w:val="center"/>
        <w:textAlignment w:val="baseline"/>
        <w:rPr>
          <w:rFonts w:ascii="Verdana" w:hAnsi="Verdana" w:cs="Verdana"/>
          <w:b/>
          <w:bCs/>
          <w:spacing w:val="2"/>
          <w:sz w:val="23"/>
          <w:szCs w:val="23"/>
          <w:lang w:val="es-ES" w:eastAsia="es-ES"/>
        </w:rPr>
      </w:pPr>
      <w:r>
        <w:rPr>
          <w:rFonts w:ascii="Verdana" w:hAnsi="Verdana" w:cs="Verdana"/>
          <w:b/>
          <w:bCs/>
          <w:spacing w:val="2"/>
          <w:sz w:val="23"/>
          <w:szCs w:val="23"/>
          <w:lang w:val="es-ES" w:eastAsia="es-ES"/>
        </w:rPr>
        <w:t>POR TANTO:</w:t>
      </w:r>
    </w:p>
    <w:p w:rsidR="0034601D" w:rsidRDefault="00FA5927">
      <w:pPr>
        <w:numPr>
          <w:ilvl w:val="0"/>
          <w:numId w:val="7"/>
        </w:numPr>
        <w:kinsoku w:val="0"/>
        <w:overflowPunct w:val="0"/>
        <w:autoSpaceDE/>
        <w:autoSpaceDN/>
        <w:adjustRightInd/>
        <w:spacing w:before="10" w:line="294" w:lineRule="exact"/>
        <w:ind w:right="72"/>
        <w:jc w:val="both"/>
        <w:textAlignment w:val="baseline"/>
        <w:rPr>
          <w:rFonts w:ascii="Verdana" w:hAnsi="Verdana" w:cs="Verdana"/>
          <w:b/>
          <w:bCs/>
          <w:spacing w:val="6"/>
          <w:sz w:val="23"/>
          <w:szCs w:val="23"/>
          <w:lang w:val="es-ES" w:eastAsia="es-ES"/>
        </w:rPr>
      </w:pPr>
      <w:r>
        <w:rPr>
          <w:rFonts w:ascii="Verdana" w:hAnsi="Verdana" w:cs="Verdana"/>
          <w:spacing w:val="6"/>
          <w:sz w:val="23"/>
          <w:szCs w:val="23"/>
          <w:lang w:val="es-ES" w:eastAsia="es-ES"/>
        </w:rPr>
        <w:t xml:space="preserve">Se rechaza por </w:t>
      </w:r>
      <w:r>
        <w:rPr>
          <w:rFonts w:ascii="Verdana" w:hAnsi="Verdana" w:cs="Verdana"/>
          <w:b/>
          <w:bCs/>
          <w:spacing w:val="6"/>
          <w:sz w:val="23"/>
          <w:szCs w:val="23"/>
          <w:lang w:val="es-ES" w:eastAsia="es-ES"/>
        </w:rPr>
        <w:t xml:space="preserve">Falta de Legitimación </w:t>
      </w:r>
      <w:r>
        <w:rPr>
          <w:rFonts w:ascii="Verdana" w:hAnsi="Verdana" w:cs="Verdana"/>
          <w:spacing w:val="6"/>
          <w:sz w:val="23"/>
          <w:szCs w:val="23"/>
          <w:lang w:val="es-ES" w:eastAsia="es-ES"/>
        </w:rPr>
        <w:t xml:space="preserve">el presente </w:t>
      </w:r>
      <w:r>
        <w:rPr>
          <w:rFonts w:ascii="Verdana" w:hAnsi="Verdana" w:cs="Verdana"/>
          <w:b/>
          <w:bCs/>
          <w:spacing w:val="6"/>
          <w:sz w:val="23"/>
          <w:szCs w:val="23"/>
          <w:lang w:val="es-ES" w:eastAsia="es-ES"/>
        </w:rPr>
        <w:t xml:space="preserve">RECURSOS DE APELACIÓN Y NULIDAD, </w:t>
      </w:r>
      <w:r>
        <w:rPr>
          <w:rFonts w:ascii="Verdana" w:hAnsi="Verdana" w:cs="Verdana"/>
          <w:spacing w:val="6"/>
          <w:sz w:val="23"/>
          <w:szCs w:val="23"/>
          <w:lang w:val="es-ES" w:eastAsia="es-ES"/>
        </w:rPr>
        <w:t xml:space="preserve">interpuesto por La </w:t>
      </w:r>
      <w:r>
        <w:rPr>
          <w:rFonts w:ascii="Verdana" w:hAnsi="Verdana" w:cs="Verdana"/>
          <w:b/>
          <w:bCs/>
          <w:spacing w:val="6"/>
          <w:sz w:val="23"/>
          <w:szCs w:val="23"/>
          <w:lang w:val="es-ES" w:eastAsia="es-ES"/>
        </w:rPr>
        <w:t>E</w:t>
      </w:r>
      <w:r w:rsidR="00E856E7">
        <w:rPr>
          <w:rFonts w:ascii="Verdana" w:hAnsi="Verdana" w:cs="Verdana"/>
          <w:b/>
          <w:bCs/>
          <w:spacing w:val="6"/>
          <w:sz w:val="23"/>
          <w:szCs w:val="23"/>
          <w:lang w:val="es-ES" w:eastAsia="es-ES"/>
        </w:rPr>
        <w:t>.A.L.</w:t>
      </w:r>
      <w:r>
        <w:rPr>
          <w:rFonts w:ascii="Verdana" w:hAnsi="Verdana" w:cs="Verdana"/>
          <w:b/>
          <w:bCs/>
          <w:spacing w:val="6"/>
          <w:sz w:val="23"/>
          <w:szCs w:val="23"/>
          <w:lang w:val="es-ES" w:eastAsia="es-ES"/>
        </w:rPr>
        <w:t xml:space="preserve">, cédula Jurídica número </w:t>
      </w:r>
      <w:r w:rsidR="00E856E7">
        <w:rPr>
          <w:rFonts w:ascii="Verdana" w:hAnsi="Verdana" w:cs="Verdana"/>
          <w:b/>
          <w:bCs/>
          <w:spacing w:val="6"/>
          <w:sz w:val="23"/>
          <w:szCs w:val="23"/>
          <w:lang w:val="es-ES" w:eastAsia="es-ES"/>
        </w:rPr>
        <w:t>…</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 xml:space="preserve">por medio de sus Apoderados Generalísimos sin Límite de Suma, señores </w:t>
      </w:r>
      <w:r>
        <w:rPr>
          <w:rFonts w:ascii="Verdana" w:hAnsi="Verdana" w:cs="Verdana"/>
          <w:b/>
          <w:bCs/>
          <w:spacing w:val="6"/>
          <w:sz w:val="23"/>
          <w:szCs w:val="23"/>
          <w:lang w:val="es-ES" w:eastAsia="es-ES"/>
        </w:rPr>
        <w:t>G</w:t>
      </w:r>
      <w:r w:rsidR="00E856E7">
        <w:rPr>
          <w:rFonts w:ascii="Verdana" w:hAnsi="Verdana" w:cs="Verdana"/>
          <w:b/>
          <w:bCs/>
          <w:spacing w:val="6"/>
          <w:sz w:val="23"/>
          <w:szCs w:val="23"/>
          <w:lang w:val="es-ES" w:eastAsia="es-ES"/>
        </w:rPr>
        <w:t>.A.C.,</w:t>
      </w:r>
      <w:r>
        <w:rPr>
          <w:rFonts w:ascii="Verdana" w:hAnsi="Verdana" w:cs="Verdana"/>
          <w:b/>
          <w:bCs/>
          <w:spacing w:val="6"/>
          <w:sz w:val="23"/>
          <w:szCs w:val="23"/>
          <w:lang w:val="es-ES" w:eastAsia="es-ES"/>
        </w:rPr>
        <w:t xml:space="preserve"> cédula de identidad número </w:t>
      </w:r>
      <w:r w:rsidR="00E856E7">
        <w:rPr>
          <w:rFonts w:ascii="Verdana" w:hAnsi="Verdana" w:cs="Verdana"/>
          <w:b/>
          <w:bCs/>
          <w:spacing w:val="6"/>
          <w:sz w:val="23"/>
          <w:szCs w:val="23"/>
          <w:lang w:val="es-ES" w:eastAsia="es-ES"/>
        </w:rPr>
        <w:t>…</w:t>
      </w:r>
      <w:r>
        <w:rPr>
          <w:rFonts w:ascii="Verdana" w:hAnsi="Verdana" w:cs="Verdana"/>
          <w:b/>
          <w:bCs/>
          <w:spacing w:val="6"/>
          <w:sz w:val="23"/>
          <w:szCs w:val="23"/>
          <w:lang w:val="es-ES" w:eastAsia="es-ES"/>
        </w:rPr>
        <w:t xml:space="preserve"> y F</w:t>
      </w:r>
      <w:r w:rsidR="00E856E7">
        <w:rPr>
          <w:rFonts w:ascii="Verdana" w:hAnsi="Verdana" w:cs="Verdana"/>
          <w:b/>
          <w:bCs/>
          <w:spacing w:val="6"/>
          <w:sz w:val="23"/>
          <w:szCs w:val="23"/>
          <w:lang w:val="es-ES" w:eastAsia="es-ES"/>
        </w:rPr>
        <w:t>.A.H.,</w:t>
      </w:r>
      <w:r>
        <w:rPr>
          <w:rFonts w:ascii="Verdana" w:hAnsi="Verdana" w:cs="Verdana"/>
          <w:b/>
          <w:bCs/>
          <w:spacing w:val="6"/>
          <w:sz w:val="23"/>
          <w:szCs w:val="23"/>
          <w:lang w:val="es-ES" w:eastAsia="es-ES"/>
        </w:rPr>
        <w:t xml:space="preserve"> cédula de identidad número </w:t>
      </w:r>
      <w:r w:rsidR="00E856E7">
        <w:rPr>
          <w:rFonts w:ascii="Verdana" w:hAnsi="Verdana" w:cs="Verdana"/>
          <w:b/>
          <w:bCs/>
          <w:spacing w:val="6"/>
          <w:sz w:val="23"/>
          <w:szCs w:val="23"/>
          <w:lang w:val="es-ES" w:eastAsia="es-ES"/>
        </w:rPr>
        <w:t>…</w:t>
      </w:r>
      <w:r>
        <w:rPr>
          <w:rFonts w:ascii="Verdana" w:hAnsi="Verdana" w:cs="Verdana"/>
          <w:b/>
          <w:bCs/>
          <w:spacing w:val="6"/>
          <w:sz w:val="23"/>
          <w:szCs w:val="23"/>
          <w:lang w:val="es-ES" w:eastAsia="es-ES"/>
        </w:rPr>
        <w:t xml:space="preserve">, </w:t>
      </w:r>
      <w:r>
        <w:rPr>
          <w:rFonts w:ascii="Verdana" w:hAnsi="Verdana" w:cs="Verdana"/>
          <w:spacing w:val="6"/>
          <w:sz w:val="23"/>
          <w:szCs w:val="23"/>
          <w:lang w:val="es-ES" w:eastAsia="es-ES"/>
        </w:rPr>
        <w:t xml:space="preserve">contra el </w:t>
      </w:r>
      <w:r>
        <w:rPr>
          <w:rFonts w:ascii="Verdana" w:hAnsi="Verdana" w:cs="Verdana"/>
          <w:b/>
          <w:bCs/>
          <w:spacing w:val="6"/>
          <w:sz w:val="23"/>
          <w:szCs w:val="23"/>
          <w:lang w:val="es-ES" w:eastAsia="es-ES"/>
        </w:rPr>
        <w:t>artículo 1.5 de la Sesión Ordinaria 54-2014 del 25 de setiembre de 2014 celebrado por la Junta Directiva del Consejo de Transporte Público.</w:t>
      </w:r>
    </w:p>
    <w:p w:rsidR="0034601D" w:rsidRPr="00E856E7" w:rsidRDefault="00FA5927">
      <w:pPr>
        <w:numPr>
          <w:ilvl w:val="0"/>
          <w:numId w:val="7"/>
        </w:numPr>
        <w:kinsoku w:val="0"/>
        <w:overflowPunct w:val="0"/>
        <w:autoSpaceDE/>
        <w:autoSpaceDN/>
        <w:adjustRightInd/>
        <w:spacing w:before="318" w:after="868" w:line="294" w:lineRule="exact"/>
        <w:ind w:right="72"/>
        <w:jc w:val="both"/>
        <w:textAlignment w:val="baseline"/>
        <w:rPr>
          <w:rFonts w:ascii="Verdana" w:hAnsi="Verdana" w:cs="Verdana"/>
          <w:sz w:val="24"/>
          <w:szCs w:val="24"/>
          <w:lang w:eastAsia="en-US"/>
        </w:rPr>
      </w:pPr>
      <w:r>
        <w:rPr>
          <w:rFonts w:ascii="Verdana" w:hAnsi="Verdana" w:cs="Verdana"/>
          <w:sz w:val="23"/>
          <w:szCs w:val="23"/>
          <w:lang w:val="es-ES" w:eastAsia="es-ES"/>
        </w:rPr>
        <w:t xml:space="preserve">De conformidad con el artículo 22, inciso c), de la citada Ley 7969, la presente resolución no tiene ulterior recurso por lo que, se </w:t>
      </w:r>
      <w:r>
        <w:rPr>
          <w:rFonts w:ascii="Verdana" w:hAnsi="Verdana" w:cs="Verdana"/>
          <w:i/>
          <w:iCs/>
          <w:sz w:val="23"/>
          <w:szCs w:val="23"/>
          <w:lang w:val="es-ES" w:eastAsia="es-ES"/>
        </w:rPr>
        <w:t xml:space="preserve">tiene por agotada la vía administrativa. </w:t>
      </w:r>
      <w:r>
        <w:rPr>
          <w:rFonts w:ascii="Verdana" w:hAnsi="Verdana" w:cs="Verdana"/>
          <w:b/>
          <w:bCs/>
          <w:sz w:val="23"/>
          <w:szCs w:val="23"/>
          <w:lang w:val="es-ES" w:eastAsia="es-ES"/>
        </w:rPr>
        <w:t>NOTIFÍQUESE.</w:t>
      </w:r>
      <w:r>
        <w:rPr>
          <w:rFonts w:ascii="Verdana" w:hAnsi="Verdana" w:cs="Verdana"/>
          <w:b/>
          <w:bCs/>
          <w:sz w:val="23"/>
          <w:szCs w:val="23"/>
          <w:lang w:val="es-ES" w:eastAsia="es-ES"/>
        </w:rPr>
        <w:noBreakHyphen/>
      </w:r>
    </w:p>
    <w:p w:rsidR="00E856E7" w:rsidRPr="00AE0D42" w:rsidRDefault="00E856E7" w:rsidP="00E856E7">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E856E7" w:rsidRDefault="00E856E7" w:rsidP="00E856E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E856E7" w:rsidRPr="00AE0D42" w:rsidRDefault="00E856E7" w:rsidP="00E856E7">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856E7" w:rsidRDefault="00E856E7" w:rsidP="00E856E7">
      <w:pPr>
        <w:kinsoku w:val="0"/>
        <w:overflowPunct w:val="0"/>
        <w:autoSpaceDE/>
        <w:autoSpaceDN/>
        <w:adjustRightInd/>
        <w:spacing w:before="288"/>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xml:space="preserve">. Mario Quesada Aguirre   </w:t>
      </w:r>
    </w:p>
    <w:p w:rsidR="00E856E7" w:rsidRDefault="00E856E7" w:rsidP="00E856E7">
      <w:pPr>
        <w:kinsoku w:val="0"/>
        <w:overflowPunct w:val="0"/>
        <w:autoSpaceDE/>
        <w:autoSpaceDN/>
        <w:adjustRightInd/>
        <w:ind w:left="72" w:right="144"/>
        <w:jc w:val="center"/>
        <w:textAlignment w:val="baseline"/>
        <w:rPr>
          <w:rFonts w:ascii="Verdana" w:hAnsi="Verdana" w:cs="Verdana"/>
          <w:sz w:val="24"/>
          <w:szCs w:val="24"/>
          <w:lang w:eastAsia="en-US"/>
        </w:rPr>
      </w:pPr>
      <w:proofErr w:type="spellStart"/>
      <w:r w:rsidRPr="00AE0D42">
        <w:rPr>
          <w:rStyle w:val="CharacterStyle1"/>
          <w:b/>
          <w:iCs/>
          <w:spacing w:val="5"/>
          <w:sz w:val="26"/>
          <w:szCs w:val="26"/>
        </w:rPr>
        <w:t>J</w:t>
      </w:r>
      <w:r>
        <w:rPr>
          <w:rStyle w:val="CharacterStyle1"/>
          <w:b/>
          <w:iCs/>
          <w:spacing w:val="5"/>
          <w:sz w:val="26"/>
          <w:szCs w:val="26"/>
        </w:rPr>
        <w:t>uez</w:t>
      </w:r>
      <w:proofErr w:type="spellEnd"/>
      <w:r w:rsidRPr="00AE0D42">
        <w:rPr>
          <w:rStyle w:val="CharacterStyle1"/>
          <w:b/>
          <w:iCs/>
          <w:spacing w:val="5"/>
          <w:sz w:val="26"/>
          <w:szCs w:val="26"/>
        </w:rPr>
        <w:tab/>
      </w:r>
      <w:r w:rsidRPr="00AE0D42">
        <w:rPr>
          <w:rStyle w:val="CharacterStyle1"/>
          <w:b/>
          <w:iCs/>
          <w:spacing w:val="5"/>
          <w:sz w:val="26"/>
          <w:szCs w:val="26"/>
        </w:rPr>
        <w:tab/>
      </w:r>
      <w:r w:rsidRPr="00AE0D42">
        <w:rPr>
          <w:rStyle w:val="CharacterStyle1"/>
          <w:b/>
          <w:iCs/>
          <w:spacing w:val="5"/>
          <w:sz w:val="26"/>
          <w:szCs w:val="26"/>
        </w:rPr>
        <w:tab/>
      </w:r>
      <w:r>
        <w:rPr>
          <w:rStyle w:val="CharacterStyle1"/>
          <w:b/>
          <w:iCs/>
          <w:spacing w:val="5"/>
          <w:sz w:val="26"/>
          <w:szCs w:val="26"/>
        </w:rPr>
        <w:t xml:space="preserve">           </w:t>
      </w:r>
      <w:r w:rsidRPr="00AE0D42">
        <w:rPr>
          <w:rStyle w:val="CharacterStyle1"/>
          <w:b/>
          <w:iCs/>
          <w:spacing w:val="5"/>
          <w:sz w:val="26"/>
          <w:szCs w:val="26"/>
        </w:rPr>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sectPr w:rsidR="00E856E7" w:rsidSect="00E856E7">
      <w:pgSz w:w="12134" w:h="15840"/>
      <w:pgMar w:top="900" w:right="1436" w:bottom="230" w:left="16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E59D"/>
    <w:multiLevelType w:val="singleLevel"/>
    <w:tmpl w:val="293BDE66"/>
    <w:lvl w:ilvl="0">
      <w:start w:val="13"/>
      <w:numFmt w:val="decimal"/>
      <w:lvlText w:val="%1."/>
      <w:lvlJc w:val="left"/>
      <w:pPr>
        <w:tabs>
          <w:tab w:val="num" w:pos="792"/>
        </w:tabs>
        <w:ind w:left="504"/>
      </w:pPr>
      <w:rPr>
        <w:rFonts w:ascii="Verdana" w:hAnsi="Verdana" w:cs="Verdana"/>
        <w:i/>
        <w:iCs/>
        <w:snapToGrid/>
        <w:sz w:val="15"/>
        <w:szCs w:val="15"/>
      </w:rPr>
    </w:lvl>
  </w:abstractNum>
  <w:abstractNum w:abstractNumId="1" w15:restartNumberingAfterBreak="0">
    <w:nsid w:val="04AC49E7"/>
    <w:multiLevelType w:val="singleLevel"/>
    <w:tmpl w:val="41E0A578"/>
    <w:lvl w:ilvl="0">
      <w:start w:val="1"/>
      <w:numFmt w:val="upperRoman"/>
      <w:lvlText w:val="%1.-"/>
      <w:lvlJc w:val="left"/>
      <w:pPr>
        <w:tabs>
          <w:tab w:val="num" w:pos="720"/>
        </w:tabs>
        <w:ind w:left="72"/>
      </w:pPr>
      <w:rPr>
        <w:rFonts w:ascii="Verdana" w:hAnsi="Verdana" w:cs="Verdana"/>
        <w:b/>
        <w:snapToGrid/>
        <w:spacing w:val="6"/>
        <w:sz w:val="23"/>
        <w:szCs w:val="23"/>
      </w:rPr>
    </w:lvl>
  </w:abstractNum>
  <w:abstractNum w:abstractNumId="2" w15:restartNumberingAfterBreak="0">
    <w:nsid w:val="05FE48FB"/>
    <w:multiLevelType w:val="singleLevel"/>
    <w:tmpl w:val="33A2A020"/>
    <w:lvl w:ilvl="0">
      <w:start w:val="1"/>
      <w:numFmt w:val="decimal"/>
      <w:lvlText w:val="%1."/>
      <w:lvlJc w:val="left"/>
      <w:pPr>
        <w:tabs>
          <w:tab w:val="num" w:pos="720"/>
        </w:tabs>
        <w:ind w:left="432"/>
      </w:pPr>
      <w:rPr>
        <w:rFonts w:ascii="Verdana" w:hAnsi="Verdana" w:cs="Verdana"/>
        <w:i/>
        <w:iCs/>
        <w:snapToGrid/>
        <w:sz w:val="16"/>
        <w:szCs w:val="16"/>
      </w:rPr>
    </w:lvl>
  </w:abstractNum>
  <w:abstractNum w:abstractNumId="3" w15:restartNumberingAfterBreak="0">
    <w:nsid w:val="063CB0D1"/>
    <w:multiLevelType w:val="singleLevel"/>
    <w:tmpl w:val="315A71A0"/>
    <w:lvl w:ilvl="0">
      <w:start w:val="1"/>
      <w:numFmt w:val="lowerLetter"/>
      <w:lvlText w:val="%1).-"/>
      <w:lvlJc w:val="left"/>
      <w:pPr>
        <w:tabs>
          <w:tab w:val="num" w:pos="648"/>
        </w:tabs>
        <w:ind w:left="144"/>
      </w:pPr>
      <w:rPr>
        <w:rFonts w:ascii="Verdana" w:hAnsi="Verdana" w:cs="Verdana"/>
        <w:snapToGrid/>
        <w:spacing w:val="5"/>
        <w:sz w:val="23"/>
        <w:szCs w:val="23"/>
      </w:rPr>
    </w:lvl>
  </w:abstractNum>
  <w:abstractNum w:abstractNumId="4" w15:restartNumberingAfterBreak="0">
    <w:nsid w:val="073F452B"/>
    <w:multiLevelType w:val="singleLevel"/>
    <w:tmpl w:val="0517D08C"/>
    <w:lvl w:ilvl="0">
      <w:start w:val="7"/>
      <w:numFmt w:val="decimal"/>
      <w:lvlText w:val="%1."/>
      <w:lvlJc w:val="left"/>
      <w:pPr>
        <w:tabs>
          <w:tab w:val="num" w:pos="288"/>
        </w:tabs>
        <w:ind w:left="72"/>
      </w:pPr>
      <w:rPr>
        <w:rFonts w:ascii="Verdana" w:hAnsi="Verdana" w:cs="Verdana"/>
        <w:i/>
        <w:iCs/>
        <w:snapToGrid/>
        <w:spacing w:val="4"/>
        <w:sz w:val="15"/>
        <w:szCs w:val="15"/>
      </w:rPr>
    </w:lvl>
  </w:abstractNum>
  <w:num w:numId="1">
    <w:abstractNumId w:val="2"/>
  </w:num>
  <w:num w:numId="2">
    <w:abstractNumId w:val="4"/>
  </w:num>
  <w:num w:numId="3">
    <w:abstractNumId w:val="0"/>
  </w:num>
  <w:num w:numId="4">
    <w:abstractNumId w:val="0"/>
    <w:lvlOverride w:ilvl="0">
      <w:lvl w:ilvl="0">
        <w:numFmt w:val="decimal"/>
        <w:lvlText w:val="%1."/>
        <w:lvlJc w:val="left"/>
        <w:pPr>
          <w:tabs>
            <w:tab w:val="num" w:pos="792"/>
          </w:tabs>
          <w:ind w:left="504"/>
        </w:pPr>
        <w:rPr>
          <w:i/>
          <w:iCs/>
          <w:snapToGrid/>
          <w:spacing w:val="9"/>
          <w:sz w:val="20"/>
          <w:szCs w:val="20"/>
        </w:rPr>
      </w:lvl>
    </w:lvlOverride>
  </w:num>
  <w:num w:numId="5">
    <w:abstractNumId w:val="3"/>
  </w:num>
  <w:num w:numId="6">
    <w:abstractNumId w:val="3"/>
    <w:lvlOverride w:ilvl="0">
      <w:lvl w:ilvl="0">
        <w:numFmt w:val="lowerLetter"/>
        <w:lvlText w:val="%1).-"/>
        <w:lvlJc w:val="left"/>
        <w:pPr>
          <w:tabs>
            <w:tab w:val="num" w:pos="792"/>
          </w:tabs>
          <w:ind w:left="144"/>
        </w:pPr>
        <w:rPr>
          <w:rFonts w:ascii="Verdana" w:hAnsi="Verdana" w:cs="Verdana"/>
          <w:snapToGrid/>
          <w:spacing w:val="4"/>
          <w:sz w:val="23"/>
          <w:szCs w:val="23"/>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C3"/>
    <w:rsid w:val="00163682"/>
    <w:rsid w:val="0034601D"/>
    <w:rsid w:val="00923BC3"/>
    <w:rsid w:val="00E856E7"/>
    <w:rsid w:val="00E96D5A"/>
    <w:rsid w:val="00FA1731"/>
    <w:rsid w:val="00FA59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1731"/>
    <w:rPr>
      <w:color w:val="0000FF" w:themeColor="hyperlink"/>
      <w:u w:val="single"/>
    </w:rPr>
  </w:style>
  <w:style w:type="paragraph" w:customStyle="1" w:styleId="Style1">
    <w:name w:val="Style 1"/>
    <w:basedOn w:val="Normal"/>
    <w:uiPriority w:val="99"/>
    <w:rsid w:val="00E856E7"/>
    <w:rPr>
      <w:lang w:val="es-CR"/>
    </w:rPr>
  </w:style>
  <w:style w:type="character" w:customStyle="1" w:styleId="CharacterStyle1">
    <w:name w:val="Character Style 1"/>
    <w:uiPriority w:val="99"/>
    <w:rsid w:val="00E856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20Ibrenes@ctp.go.cr" TargetMode="External"/><Relationship Id="rId13" Type="http://schemas.openxmlformats.org/officeDocument/2006/relationships/hyperlink" Target="http://tralapaeice.co.cr" TargetMode="External"/><Relationship Id="rId3" Type="http://schemas.openxmlformats.org/officeDocument/2006/relationships/settings" Target="settings.xml"/><Relationship Id="rId7" Type="http://schemas.openxmlformats.org/officeDocument/2006/relationships/hyperlink" Target="mailto:scerdas@ctp.go.cr" TargetMode="External"/><Relationship Id="rId12" Type="http://schemas.openxmlformats.org/officeDocument/2006/relationships/hyperlink" Target="mailto:mporras@aresep.go.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mirez@ctp.go.cr," TargetMode="External"/><Relationship Id="rId11" Type="http://schemas.openxmlformats.org/officeDocument/2006/relationships/hyperlink" Target="mailto:gamboare@aresep.go.cr" TargetMode="External"/><Relationship Id="rId5" Type="http://schemas.openxmlformats.org/officeDocument/2006/relationships/hyperlink" Target="mailto:aorozco@ctp.go.cr" TargetMode="External"/><Relationship Id="rId15" Type="http://schemas.openxmlformats.org/officeDocument/2006/relationships/theme" Target="theme/theme1.xml"/><Relationship Id="rId10" Type="http://schemas.openxmlformats.org/officeDocument/2006/relationships/hyperlink" Target="mailto:munozae@aresep.go.cr," TargetMode="External"/><Relationship Id="rId4" Type="http://schemas.openxmlformats.org/officeDocument/2006/relationships/webSettings" Target="webSettings.xml"/><Relationship Id="rId9" Type="http://schemas.openxmlformats.org/officeDocument/2006/relationships/hyperlink" Target="mailto:gretana@aresep.go.cr,"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3671</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2019-09-11T15:21:00Z</dcterms:created>
  <dcterms:modified xsi:type="dcterms:W3CDTF">2019-09-11T15:21:00Z</dcterms:modified>
</cp:coreProperties>
</file>